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小标宋_GBK" w:hAnsi="方正小标宋_GBK" w:eastAsia="方正小标宋_GBK" w:cs="方正小标宋_GBK"/>
          <w:sz w:val="44"/>
          <w:szCs w:val="44"/>
        </w:rPr>
      </w:pPr>
      <w:r>
        <w:rPr>
          <w:rFonts w:hint="eastAsia" w:ascii="宋体" w:hAnsi="宋体"/>
        </w:rPr>
        <w:t xml:space="preserve"> </w:t>
      </w:r>
      <w:r>
        <w:rPr>
          <w:rFonts w:hint="eastAsia" w:ascii="方正小标宋_GBK" w:hAnsi="方正小标宋_GBK" w:eastAsia="方正小标宋_GBK" w:cs="方正小标宋_GBK"/>
          <w:sz w:val="44"/>
          <w:szCs w:val="44"/>
        </w:rPr>
        <w:t>重庆高新区2</w:t>
      </w:r>
      <w:r>
        <w:rPr>
          <w:rFonts w:ascii="方正小标宋_GBK" w:hAnsi="方正小标宋_GBK" w:eastAsia="方正小标宋_GBK" w:cs="方正小标宋_GBK"/>
          <w:sz w:val="44"/>
          <w:szCs w:val="44"/>
        </w:rPr>
        <w:t>022</w:t>
      </w:r>
      <w:r>
        <w:rPr>
          <w:rFonts w:hint="eastAsia" w:ascii="方正小标宋_GBK" w:hAnsi="方正小标宋_GBK" w:eastAsia="方正小标宋_GBK" w:cs="方正小标宋_GBK"/>
          <w:sz w:val="44"/>
          <w:szCs w:val="44"/>
        </w:rPr>
        <w:t>年度企业环境信用评价工作技术服务需求文件（综合评分法）</w:t>
      </w:r>
    </w:p>
    <w:p>
      <w:pPr>
        <w:jc w:val="center"/>
        <w:rPr>
          <w:rFonts w:ascii="方正小标宋_GBK" w:hAnsi="方正小标宋_GBK" w:eastAsia="方正小标宋_GBK" w:cs="方正小标宋_GBK"/>
          <w:color w:val="FF0000"/>
          <w:sz w:val="44"/>
          <w:szCs w:val="44"/>
        </w:rPr>
      </w:pPr>
    </w:p>
    <w:p>
      <w:pPr>
        <w:pStyle w:val="4"/>
        <w:spacing w:before="0" w:after="0" w:line="600" w:lineRule="exact"/>
        <w:rPr>
          <w:rFonts w:ascii="方正黑体_GBK" w:hAnsi="方正黑体_GBK" w:eastAsia="方正黑体_GBK" w:cs="方正黑体_GBK"/>
          <w:b w:val="0"/>
          <w:bCs/>
          <w:szCs w:val="32"/>
        </w:rPr>
      </w:pPr>
      <w:bookmarkStart w:id="0" w:name="_Toc313893526"/>
      <w:bookmarkStart w:id="1" w:name="_Toc18881"/>
      <w:bookmarkStart w:id="2" w:name="_Toc18159"/>
      <w:bookmarkStart w:id="3" w:name="_Toc3463"/>
      <w:bookmarkStart w:id="4" w:name="_Toc7625"/>
      <w:bookmarkStart w:id="5" w:name="_Toc26820"/>
      <w:bookmarkStart w:id="6" w:name="_Toc25458"/>
      <w:bookmarkStart w:id="7" w:name="_Toc317775175"/>
      <w:bookmarkStart w:id="8" w:name="_Toc12808"/>
      <w:r>
        <w:rPr>
          <w:rFonts w:hint="eastAsia" w:ascii="方正黑体_GBK" w:hAnsi="方正黑体_GBK" w:eastAsia="方正黑体_GBK" w:cs="方正黑体_GBK"/>
          <w:b w:val="0"/>
          <w:bCs/>
          <w:szCs w:val="32"/>
        </w:rPr>
        <w:t>一、云平台网上竞采内容</w:t>
      </w:r>
      <w:bookmarkEnd w:id="0"/>
      <w:bookmarkEnd w:id="1"/>
      <w:bookmarkEnd w:id="2"/>
      <w:bookmarkEnd w:id="3"/>
      <w:bookmarkEnd w:id="4"/>
      <w:bookmarkEnd w:id="5"/>
      <w:bookmarkEnd w:id="6"/>
      <w:bookmarkEnd w:id="7"/>
      <w:bookmarkEnd w:id="8"/>
    </w:p>
    <w:tbl>
      <w:tblPr>
        <w:tblStyle w:val="5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570"/>
        <w:gridCol w:w="2208"/>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06" w:type="dxa"/>
            <w:tcBorders>
              <w:top w:val="single" w:color="auto" w:sz="4" w:space="0"/>
              <w:left w:val="single" w:color="auto" w:sz="4" w:space="0"/>
              <w:right w:val="single" w:color="auto" w:sz="4" w:space="0"/>
            </w:tcBorders>
            <w:vAlign w:val="center"/>
          </w:tcPr>
          <w:p>
            <w:pPr>
              <w:widowControl/>
              <w:spacing w:line="400" w:lineRule="exact"/>
              <w:jc w:val="center"/>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项目名称</w:t>
            </w:r>
          </w:p>
        </w:tc>
        <w:tc>
          <w:tcPr>
            <w:tcW w:w="1570" w:type="dxa"/>
            <w:tcBorders>
              <w:top w:val="single" w:color="auto" w:sz="4" w:space="0"/>
              <w:left w:val="single" w:color="auto" w:sz="4" w:space="0"/>
              <w:right w:val="single" w:color="auto" w:sz="4" w:space="0"/>
            </w:tcBorders>
            <w:vAlign w:val="center"/>
          </w:tcPr>
          <w:p>
            <w:pPr>
              <w:widowControl/>
              <w:spacing w:line="400" w:lineRule="exact"/>
              <w:jc w:val="center"/>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采购预算</w:t>
            </w:r>
          </w:p>
          <w:p>
            <w:pPr>
              <w:spacing w:line="400" w:lineRule="exact"/>
              <w:jc w:val="center"/>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（元）</w:t>
            </w:r>
          </w:p>
        </w:tc>
        <w:tc>
          <w:tcPr>
            <w:tcW w:w="2208" w:type="dxa"/>
            <w:tcBorders>
              <w:top w:val="single" w:color="auto" w:sz="4" w:space="0"/>
              <w:left w:val="single" w:color="auto" w:sz="4" w:space="0"/>
              <w:right w:val="single" w:color="auto" w:sz="4" w:space="0"/>
            </w:tcBorders>
            <w:vAlign w:val="center"/>
          </w:tcPr>
          <w:p>
            <w:pPr>
              <w:spacing w:line="400" w:lineRule="exact"/>
              <w:jc w:val="center"/>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资金来源</w:t>
            </w:r>
          </w:p>
        </w:tc>
        <w:tc>
          <w:tcPr>
            <w:tcW w:w="926" w:type="dxa"/>
            <w:tcBorders>
              <w:top w:val="single" w:color="auto" w:sz="4" w:space="0"/>
              <w:left w:val="single" w:color="auto" w:sz="4" w:space="0"/>
              <w:right w:val="single" w:color="auto" w:sz="4" w:space="0"/>
            </w:tcBorders>
            <w:vAlign w:val="center"/>
          </w:tcPr>
          <w:p>
            <w:pPr>
              <w:spacing w:line="400" w:lineRule="exact"/>
              <w:jc w:val="center"/>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106" w:type="dxa"/>
            <w:tcBorders>
              <w:top w:val="single" w:color="auto" w:sz="4" w:space="0"/>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Cs/>
                <w:color w:val="FF0000"/>
                <w:kern w:val="0"/>
                <w:sz w:val="32"/>
                <w:szCs w:val="32"/>
              </w:rPr>
            </w:pPr>
            <w:bookmarkStart w:id="9" w:name="_Hlk344477914"/>
            <w:r>
              <w:rPr>
                <w:rFonts w:hint="eastAsia" w:ascii="方正仿宋_GBK" w:hAnsi="方正仿宋_GBK" w:eastAsia="方正仿宋_GBK" w:cs="方正仿宋_GBK"/>
                <w:bCs/>
                <w:kern w:val="0"/>
                <w:sz w:val="32"/>
                <w:szCs w:val="32"/>
              </w:rPr>
              <w:t>重庆高新区2</w:t>
            </w:r>
            <w:r>
              <w:rPr>
                <w:rFonts w:ascii="方正仿宋_GBK" w:hAnsi="方正仿宋_GBK" w:eastAsia="方正仿宋_GBK" w:cs="方正仿宋_GBK"/>
                <w:bCs/>
                <w:kern w:val="0"/>
                <w:sz w:val="32"/>
                <w:szCs w:val="32"/>
              </w:rPr>
              <w:t>022</w:t>
            </w:r>
            <w:r>
              <w:rPr>
                <w:rFonts w:hint="eastAsia" w:ascii="方正仿宋_GBK" w:hAnsi="方正仿宋_GBK" w:eastAsia="方正仿宋_GBK" w:cs="方正仿宋_GBK"/>
                <w:bCs/>
                <w:kern w:val="0"/>
                <w:sz w:val="32"/>
                <w:szCs w:val="32"/>
              </w:rPr>
              <w:t>年度企业环境信用评价工作技术服务</w:t>
            </w:r>
          </w:p>
        </w:tc>
        <w:tc>
          <w:tcPr>
            <w:tcW w:w="1570" w:type="dxa"/>
            <w:tcBorders>
              <w:top w:val="single" w:color="auto" w:sz="4" w:space="0"/>
              <w:left w:val="single" w:color="auto" w:sz="4" w:space="0"/>
              <w:right w:val="single" w:color="auto" w:sz="4" w:space="0"/>
            </w:tcBorders>
            <w:shd w:val="clear" w:color="auto" w:fill="auto"/>
            <w:vAlign w:val="center"/>
          </w:tcPr>
          <w:p>
            <w:pPr>
              <w:widowControl/>
              <w:spacing w:line="400" w:lineRule="exact"/>
              <w:jc w:val="center"/>
              <w:rPr>
                <w:rFonts w:ascii="方正仿宋_GBK" w:hAnsi="方正仿宋_GBK" w:eastAsia="方正仿宋_GBK" w:cs="方正仿宋_GBK"/>
                <w:bCs/>
                <w:color w:val="FF0000"/>
                <w:kern w:val="0"/>
                <w:sz w:val="32"/>
                <w:szCs w:val="32"/>
              </w:rPr>
            </w:pPr>
            <w:r>
              <w:rPr>
                <w:rFonts w:ascii="方正仿宋_GBK" w:hAnsi="方正仿宋_GBK" w:eastAsia="方正仿宋_GBK" w:cs="方正仿宋_GBK"/>
                <w:bCs/>
                <w:kern w:val="0"/>
                <w:sz w:val="32"/>
                <w:szCs w:val="32"/>
              </w:rPr>
              <w:t>60000</w:t>
            </w:r>
          </w:p>
        </w:tc>
        <w:tc>
          <w:tcPr>
            <w:tcW w:w="2208" w:type="dxa"/>
            <w:tcBorders>
              <w:top w:val="single" w:color="auto" w:sz="4" w:space="0"/>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Cs/>
                <w:color w:val="FF0000"/>
                <w:sz w:val="32"/>
                <w:szCs w:val="32"/>
              </w:rPr>
            </w:pPr>
            <w:r>
              <w:rPr>
                <w:rFonts w:hint="eastAsia" w:ascii="方正仿宋_GBK" w:hAnsi="方正仿宋_GBK" w:eastAsia="方正仿宋_GBK" w:cs="方正仿宋_GBK"/>
                <w:bCs/>
                <w:sz w:val="32"/>
                <w:szCs w:val="32"/>
              </w:rPr>
              <w:t>财政预算资金</w:t>
            </w:r>
          </w:p>
        </w:tc>
        <w:tc>
          <w:tcPr>
            <w:tcW w:w="926" w:type="dxa"/>
            <w:tcBorders>
              <w:top w:val="single" w:color="auto" w:sz="4" w:space="0"/>
              <w:left w:val="single" w:color="auto" w:sz="4" w:space="0"/>
              <w:right w:val="single" w:color="auto" w:sz="4" w:space="0"/>
            </w:tcBorders>
            <w:vAlign w:val="center"/>
          </w:tcPr>
          <w:p>
            <w:pPr>
              <w:spacing w:line="400" w:lineRule="exact"/>
              <w:rPr>
                <w:rFonts w:ascii="方正仿宋_GBK" w:hAnsi="方正仿宋_GBK" w:eastAsia="方正仿宋_GBK" w:cs="方正仿宋_GBK"/>
                <w:bCs/>
                <w:sz w:val="32"/>
                <w:szCs w:val="32"/>
              </w:rPr>
            </w:pPr>
          </w:p>
          <w:p>
            <w:pPr>
              <w:spacing w:line="400" w:lineRule="exact"/>
              <w:rPr>
                <w:rFonts w:ascii="方正仿宋_GBK" w:hAnsi="方正仿宋_GBK" w:eastAsia="方正仿宋_GBK" w:cs="方正仿宋_GBK"/>
                <w:bCs/>
                <w:sz w:val="32"/>
                <w:szCs w:val="32"/>
              </w:rPr>
            </w:pPr>
          </w:p>
        </w:tc>
      </w:tr>
      <w:bookmarkEnd w:id="9"/>
    </w:tbl>
    <w:p>
      <w:pPr>
        <w:pStyle w:val="4"/>
        <w:spacing w:before="0" w:after="0" w:line="600" w:lineRule="exact"/>
        <w:rPr>
          <w:rFonts w:ascii="方正黑体_GBK" w:hAnsi="方正黑体_GBK" w:eastAsia="方正黑体_GBK" w:cs="方正黑体_GBK"/>
          <w:b w:val="0"/>
          <w:bCs/>
          <w:szCs w:val="32"/>
        </w:rPr>
      </w:pPr>
      <w:bookmarkStart w:id="10" w:name="_Toc22399"/>
      <w:bookmarkStart w:id="11" w:name="_Toc15576"/>
      <w:bookmarkStart w:id="12" w:name="_Toc15727"/>
      <w:bookmarkStart w:id="13" w:name="_Toc1790"/>
      <w:bookmarkStart w:id="14" w:name="_Toc19437"/>
      <w:bookmarkStart w:id="15" w:name="_Toc25190"/>
      <w:bookmarkStart w:id="16" w:name="_Toc6462"/>
      <w:bookmarkStart w:id="17" w:name="_Toc317775178"/>
      <w:bookmarkStart w:id="18" w:name="_Toc373860293"/>
      <w:r>
        <w:rPr>
          <w:rFonts w:hint="eastAsia" w:ascii="方正黑体_GBK" w:hAnsi="方正黑体_GBK" w:eastAsia="方正黑体_GBK" w:cs="方正黑体_GBK"/>
          <w:b w:val="0"/>
          <w:bCs/>
          <w:szCs w:val="32"/>
        </w:rPr>
        <w:t>二、</w:t>
      </w:r>
      <w:bookmarkEnd w:id="10"/>
      <w:bookmarkEnd w:id="11"/>
      <w:bookmarkEnd w:id="12"/>
      <w:bookmarkEnd w:id="13"/>
      <w:bookmarkEnd w:id="14"/>
      <w:bookmarkEnd w:id="15"/>
      <w:bookmarkEnd w:id="16"/>
      <w:r>
        <w:rPr>
          <w:rFonts w:hint="eastAsia" w:ascii="方正黑体_GBK" w:hAnsi="方正黑体_GBK" w:eastAsia="方正黑体_GBK" w:cs="方正黑体_GBK"/>
          <w:b w:val="0"/>
          <w:bCs/>
          <w:szCs w:val="32"/>
        </w:rPr>
        <w:t>云平台网上竞采资格条件</w:t>
      </w:r>
    </w:p>
    <w:p>
      <w:pPr>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（一）基本资格条件</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1.具有独立承担民事责任的能力；</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2.具有良好的商业信誉和健全的财务会计制度；</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3.具有履行合同所必需的设备和专业技术能力；</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4.有依法缴纳税收和社会保障资金的良好记录；</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5.参加政府采购活动前三年内，在经营活动中没有重大违法记录；</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6.法律、行政法规规定的其他条件。</w:t>
      </w:r>
    </w:p>
    <w:p>
      <w:pPr>
        <w:snapToGrid w:val="0"/>
        <w:spacing w:line="600" w:lineRule="exact"/>
        <w:ind w:firstLine="640" w:firstLineChars="200"/>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（二）特定资格条件</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无</w:t>
      </w:r>
    </w:p>
    <w:bookmarkEnd w:id="17"/>
    <w:bookmarkEnd w:id="18"/>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三、云平台网上竞采服务内容</w:t>
      </w:r>
    </w:p>
    <w:p>
      <w:pPr>
        <w:spacing w:line="600" w:lineRule="exact"/>
        <w:ind w:firstLine="640" w:firstLineChars="200"/>
        <w:rPr>
          <w:rFonts w:ascii="方正楷体_GBK" w:hAnsi="方正仿宋_GBK" w:eastAsia="方正楷体_GBK" w:cs="方正仿宋_GBK"/>
          <w:bCs/>
          <w:sz w:val="32"/>
          <w:szCs w:val="32"/>
        </w:rPr>
      </w:pPr>
      <w:r>
        <w:rPr>
          <w:rFonts w:hint="eastAsia" w:ascii="方正楷体_GBK" w:hAnsi="方正仿宋_GBK" w:eastAsia="方正楷体_GBK" w:cs="方正仿宋_GBK"/>
          <w:bCs/>
          <w:sz w:val="32"/>
          <w:szCs w:val="32"/>
        </w:rPr>
        <w:t>（一）服务内容</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组织完成</w:t>
      </w:r>
      <w:r>
        <w:rPr>
          <w:rFonts w:ascii="方正仿宋_GBK" w:hAnsi="方正仿宋_GBK" w:eastAsia="方正仿宋_GBK" w:cs="方正仿宋_GBK"/>
          <w:bCs/>
          <w:sz w:val="32"/>
          <w:szCs w:val="32"/>
        </w:rPr>
        <w:t>54</w:t>
      </w:r>
      <w:r>
        <w:rPr>
          <w:rFonts w:hint="eastAsia" w:ascii="方正仿宋_GBK" w:hAnsi="方正仿宋_GBK" w:eastAsia="方正仿宋_GBK" w:cs="方正仿宋_GBK"/>
          <w:bCs/>
          <w:sz w:val="32"/>
          <w:szCs w:val="32"/>
        </w:rPr>
        <w:t>家区级参评企业的技术培训工作，及时对参评企业相关情况进行实地调查，指导</w:t>
      </w:r>
      <w:r>
        <w:rPr>
          <w:rFonts w:ascii="方正仿宋_GBK" w:hAnsi="方正仿宋_GBK" w:eastAsia="方正仿宋_GBK" w:cs="方正仿宋_GBK"/>
          <w:bCs/>
          <w:sz w:val="32"/>
          <w:szCs w:val="32"/>
        </w:rPr>
        <w:t>54</w:t>
      </w:r>
      <w:r>
        <w:rPr>
          <w:rFonts w:hint="eastAsia" w:ascii="方正仿宋_GBK" w:hAnsi="方正仿宋_GBK" w:eastAsia="方正仿宋_GBK" w:cs="方正仿宋_GBK"/>
          <w:bCs/>
          <w:sz w:val="32"/>
          <w:szCs w:val="32"/>
        </w:rPr>
        <w:t>家区级参评企业按时保质保量完成企业自评，形成企业环境信用报告并组织完成初评工作。</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在2</w:t>
      </w:r>
      <w:r>
        <w:rPr>
          <w:rFonts w:ascii="方正仿宋_GBK" w:hAnsi="方正仿宋_GBK" w:eastAsia="方正仿宋_GBK" w:cs="方正仿宋_GBK"/>
          <w:bCs/>
          <w:sz w:val="32"/>
          <w:szCs w:val="32"/>
        </w:rPr>
        <w:t>023</w:t>
      </w:r>
      <w:r>
        <w:rPr>
          <w:rFonts w:hint="eastAsia" w:ascii="方正仿宋_GBK" w:hAnsi="方正仿宋_GBK" w:eastAsia="方正仿宋_GBK" w:cs="方正仿宋_GBK"/>
          <w:bCs/>
          <w:sz w:val="32"/>
          <w:szCs w:val="32"/>
        </w:rPr>
        <w:t>年</w:t>
      </w:r>
      <w:r>
        <w:rPr>
          <w:rFonts w:ascii="方正仿宋_GBK" w:hAnsi="方正仿宋_GBK" w:eastAsia="方正仿宋_GBK" w:cs="方正仿宋_GBK"/>
          <w:bCs/>
          <w:sz w:val="32"/>
          <w:szCs w:val="32"/>
        </w:rPr>
        <w:t>6</w:t>
      </w:r>
      <w:r>
        <w:rPr>
          <w:rFonts w:hint="eastAsia" w:ascii="方正仿宋_GBK" w:hAnsi="方正仿宋_GBK" w:eastAsia="方正仿宋_GBK" w:cs="方正仿宋_GBK"/>
          <w:bCs/>
          <w:sz w:val="32"/>
          <w:szCs w:val="32"/>
        </w:rPr>
        <w:t>月</w:t>
      </w:r>
      <w:r>
        <w:rPr>
          <w:rFonts w:ascii="方正仿宋_GBK" w:hAnsi="方正仿宋_GBK" w:eastAsia="方正仿宋_GBK" w:cs="方正仿宋_GBK"/>
          <w:bCs/>
          <w:sz w:val="32"/>
          <w:szCs w:val="32"/>
        </w:rPr>
        <w:t>30</w:t>
      </w:r>
      <w:r>
        <w:rPr>
          <w:rFonts w:hint="eastAsia" w:ascii="方正仿宋_GBK" w:hAnsi="方正仿宋_GBK" w:eastAsia="方正仿宋_GBK" w:cs="方正仿宋_GBK"/>
          <w:bCs/>
          <w:sz w:val="32"/>
          <w:szCs w:val="32"/>
        </w:rPr>
        <w:t>日之前，形成</w:t>
      </w:r>
      <w:r>
        <w:rPr>
          <w:rFonts w:ascii="方正仿宋_GBK" w:hAnsi="方正仿宋_GBK" w:eastAsia="方正仿宋_GBK" w:cs="方正仿宋_GBK"/>
          <w:bCs/>
          <w:sz w:val="32"/>
          <w:szCs w:val="32"/>
        </w:rPr>
        <w:t>54</w:t>
      </w:r>
      <w:r>
        <w:rPr>
          <w:rFonts w:hint="eastAsia" w:ascii="方正仿宋_GBK" w:hAnsi="方正仿宋_GBK" w:eastAsia="方正仿宋_GBK" w:cs="方正仿宋_GBK"/>
          <w:bCs/>
          <w:sz w:val="32"/>
          <w:szCs w:val="32"/>
        </w:rPr>
        <w:t>家区级参评企业初评结果，将初评结果及时反馈区级参评企业。</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在2</w:t>
      </w:r>
      <w:r>
        <w:rPr>
          <w:rFonts w:ascii="方正仿宋_GBK" w:hAnsi="方正仿宋_GBK" w:eastAsia="方正仿宋_GBK" w:cs="方正仿宋_GBK"/>
          <w:bCs/>
          <w:sz w:val="32"/>
          <w:szCs w:val="32"/>
        </w:rPr>
        <w:t>022</w:t>
      </w:r>
      <w:r>
        <w:rPr>
          <w:rFonts w:hint="eastAsia" w:ascii="方正仿宋_GBK" w:hAnsi="方正仿宋_GBK" w:eastAsia="方正仿宋_GBK" w:cs="方正仿宋_GBK"/>
          <w:bCs/>
          <w:sz w:val="32"/>
          <w:szCs w:val="32"/>
        </w:rPr>
        <w:t>年</w:t>
      </w:r>
      <w:r>
        <w:rPr>
          <w:rFonts w:ascii="方正仿宋_GBK" w:hAnsi="方正仿宋_GBK" w:eastAsia="方正仿宋_GBK" w:cs="方正仿宋_GBK"/>
          <w:bCs/>
          <w:sz w:val="32"/>
          <w:szCs w:val="32"/>
        </w:rPr>
        <w:t>9</w:t>
      </w:r>
      <w:r>
        <w:rPr>
          <w:rFonts w:hint="eastAsia" w:ascii="方正仿宋_GBK" w:hAnsi="方正仿宋_GBK" w:eastAsia="方正仿宋_GBK" w:cs="方正仿宋_GBK"/>
          <w:bCs/>
          <w:sz w:val="32"/>
          <w:szCs w:val="32"/>
        </w:rPr>
        <w:t>月</w:t>
      </w:r>
      <w:r>
        <w:rPr>
          <w:rFonts w:ascii="方正仿宋_GBK" w:hAnsi="方正仿宋_GBK" w:eastAsia="方正仿宋_GBK" w:cs="方正仿宋_GBK"/>
          <w:bCs/>
          <w:sz w:val="32"/>
          <w:szCs w:val="32"/>
        </w:rPr>
        <w:t>30</w:t>
      </w:r>
      <w:r>
        <w:rPr>
          <w:rFonts w:hint="eastAsia" w:ascii="方正仿宋_GBK" w:hAnsi="方正仿宋_GBK" w:eastAsia="方正仿宋_GBK" w:cs="方正仿宋_GBK"/>
          <w:bCs/>
          <w:sz w:val="32"/>
          <w:szCs w:val="32"/>
        </w:rPr>
        <w:t>日之前，根据企业申述信息进行复核和现场核查，并指导企业对初评中发现问题进行整改；报送</w:t>
      </w:r>
      <w:r>
        <w:rPr>
          <w:rFonts w:ascii="方正仿宋_GBK" w:hAnsi="方正仿宋_GBK" w:eastAsia="方正仿宋_GBK" w:cs="方正仿宋_GBK"/>
          <w:bCs/>
          <w:sz w:val="32"/>
          <w:szCs w:val="32"/>
        </w:rPr>
        <w:t>54</w:t>
      </w:r>
      <w:r>
        <w:rPr>
          <w:rFonts w:hint="eastAsia" w:ascii="方正仿宋_GBK" w:hAnsi="方正仿宋_GBK" w:eastAsia="方正仿宋_GBK" w:cs="方正仿宋_GBK"/>
          <w:bCs/>
          <w:sz w:val="32"/>
          <w:szCs w:val="32"/>
        </w:rPr>
        <w:t>家区级参评企业终审结果并进行公示。</w:t>
      </w:r>
    </w:p>
    <w:p>
      <w:pPr>
        <w:spacing w:line="600" w:lineRule="exact"/>
        <w:ind w:firstLine="640" w:firstLineChars="200"/>
        <w:rPr>
          <w:rFonts w:ascii="方正仿宋_GBK" w:hAnsi="方正仿宋_GBK" w:eastAsia="方正仿宋_GBK" w:cs="方正仿宋_GBK"/>
          <w:bCs/>
          <w:sz w:val="32"/>
          <w:szCs w:val="32"/>
        </w:rPr>
      </w:pPr>
      <w:r>
        <w:rPr>
          <w:rFonts w:ascii="方正仿宋_GBK" w:hAnsi="方正仿宋_GBK" w:eastAsia="方正仿宋_GBK" w:cs="方正仿宋_GBK"/>
          <w:bCs/>
          <w:sz w:val="32"/>
          <w:szCs w:val="32"/>
        </w:rPr>
        <w:t>4.</w:t>
      </w:r>
      <w:r>
        <w:rPr>
          <w:rFonts w:hint="eastAsia" w:ascii="方正仿宋_GBK" w:hAnsi="方正仿宋_GBK" w:eastAsia="方正仿宋_GBK" w:cs="方正仿宋_GBK"/>
          <w:bCs/>
          <w:sz w:val="32"/>
          <w:szCs w:val="32"/>
        </w:rPr>
        <w:t>后期其他工作内容以重庆市生态环境局要求为准。</w:t>
      </w:r>
    </w:p>
    <w:p>
      <w:pPr>
        <w:spacing w:line="600" w:lineRule="exact"/>
        <w:ind w:firstLine="640" w:firstLineChars="200"/>
        <w:rPr>
          <w:rFonts w:ascii="方正楷体_GBK" w:hAnsi="方正仿宋_GBK" w:eastAsia="方正楷体_GBK" w:cs="方正仿宋_GBK"/>
          <w:bCs/>
          <w:sz w:val="32"/>
          <w:szCs w:val="32"/>
        </w:rPr>
      </w:pPr>
      <w:r>
        <w:rPr>
          <w:rFonts w:hint="eastAsia" w:ascii="方正楷体_GBK" w:hAnsi="方正仿宋_GBK" w:eastAsia="方正楷体_GBK" w:cs="方正仿宋_GBK"/>
          <w:bCs/>
          <w:sz w:val="32"/>
          <w:szCs w:val="32"/>
        </w:rPr>
        <w:t>（二）服务要求</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符合</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重庆市企业环境信用评价办法</w:t>
      </w:r>
      <w:r>
        <w:rPr>
          <w:rFonts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rPr>
        <w:t>（渝环规</w:t>
      </w:r>
      <w:r>
        <w:rPr>
          <w:rFonts w:eastAsia="方正仿宋_GBK"/>
          <w:snapToGrid w:val="0"/>
          <w:kern w:val="0"/>
          <w:sz w:val="32"/>
          <w:szCs w:val="32"/>
        </w:rPr>
        <w:t>〔2021〕7</w:t>
      </w:r>
      <w:r>
        <w:rPr>
          <w:rFonts w:hint="eastAsia" w:eastAsia="方正仿宋_GBK"/>
          <w:snapToGrid w:val="0"/>
          <w:kern w:val="0"/>
          <w:sz w:val="32"/>
          <w:szCs w:val="32"/>
        </w:rPr>
        <w:t>号</w:t>
      </w:r>
      <w:r>
        <w:rPr>
          <w:rFonts w:hint="eastAsia" w:ascii="方正仿宋_GBK" w:hAnsi="方正仿宋_GBK" w:eastAsia="方正仿宋_GBK" w:cs="方正仿宋_GBK"/>
          <w:bCs/>
          <w:sz w:val="32"/>
          <w:szCs w:val="32"/>
        </w:rPr>
        <w:t>）、</w:t>
      </w:r>
      <w:r>
        <w:rPr>
          <w:rFonts w:hint="eastAsia" w:eastAsia="方正仿宋_GBK"/>
          <w:sz w:val="32"/>
          <w:szCs w:val="32"/>
        </w:rPr>
        <w:t>《重庆市生态环境局办公室关于开展</w:t>
      </w:r>
      <w:r>
        <w:rPr>
          <w:rFonts w:eastAsia="方正仿宋_GBK"/>
          <w:sz w:val="32"/>
          <w:szCs w:val="32"/>
        </w:rPr>
        <w:t>2022</w:t>
      </w:r>
      <w:r>
        <w:rPr>
          <w:rFonts w:hint="eastAsia" w:eastAsia="方正仿宋_GBK"/>
          <w:sz w:val="32"/>
          <w:szCs w:val="32"/>
        </w:rPr>
        <w:t>年度企业环境信用评价工作的通知》（渝环办〔202</w:t>
      </w:r>
      <w:r>
        <w:rPr>
          <w:rFonts w:eastAsia="方正仿宋_GBK"/>
          <w:sz w:val="32"/>
          <w:szCs w:val="32"/>
        </w:rPr>
        <w:t>3</w:t>
      </w:r>
      <w:r>
        <w:rPr>
          <w:rFonts w:hint="eastAsia" w:eastAsia="方正仿宋_GBK"/>
          <w:sz w:val="32"/>
          <w:szCs w:val="32"/>
        </w:rPr>
        <w:t>〕</w:t>
      </w:r>
      <w:r>
        <w:rPr>
          <w:rFonts w:eastAsia="方正仿宋_GBK"/>
          <w:sz w:val="32"/>
          <w:szCs w:val="32"/>
        </w:rPr>
        <w:t>15</w:t>
      </w:r>
      <w:r>
        <w:rPr>
          <w:rFonts w:hint="eastAsia" w:eastAsia="方正仿宋_GBK"/>
          <w:sz w:val="32"/>
          <w:szCs w:val="32"/>
        </w:rPr>
        <w:t>号）</w:t>
      </w:r>
      <w:r>
        <w:rPr>
          <w:rFonts w:hint="eastAsia" w:ascii="方正仿宋_GBK" w:hAnsi="方正仿宋_GBK" w:eastAsia="方正仿宋_GBK" w:cs="方正仿宋_GBK"/>
          <w:bCs/>
          <w:sz w:val="32"/>
          <w:szCs w:val="32"/>
        </w:rPr>
        <w:t>等相关文件。</w:t>
      </w:r>
    </w:p>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四、服务期</w:t>
      </w:r>
    </w:p>
    <w:p>
      <w:pPr>
        <w:snapToGrid w:val="0"/>
        <w:spacing w:line="600" w:lineRule="exact"/>
        <w:ind w:firstLine="640" w:firstLineChars="200"/>
        <w:rPr>
          <w:rFonts w:ascii="方正仿宋_GBK" w:hAnsi="方正仿宋_GBK" w:eastAsia="方正仿宋_GBK" w:cs="方正仿宋_GBK"/>
          <w:bCs/>
          <w:color w:val="FF0000"/>
          <w:sz w:val="32"/>
          <w:szCs w:val="32"/>
        </w:rPr>
      </w:pPr>
      <w:r>
        <w:rPr>
          <w:rFonts w:hint="eastAsia" w:ascii="方正仿宋_GBK" w:hAnsi="方正仿宋_GBK" w:eastAsia="方正仿宋_GBK" w:cs="方正仿宋_GBK"/>
          <w:bCs/>
          <w:sz w:val="32"/>
          <w:szCs w:val="32"/>
        </w:rPr>
        <w:t>自合同签订之日起</w:t>
      </w:r>
      <w:r>
        <w:rPr>
          <w:rFonts w:ascii="方正仿宋_GBK" w:hAnsi="方正仿宋_GBK" w:eastAsia="方正仿宋_GBK" w:cs="方正仿宋_GBK"/>
          <w:bCs/>
          <w:sz w:val="32"/>
          <w:szCs w:val="32"/>
          <w:u w:val="single"/>
        </w:rPr>
        <w:t>180</w:t>
      </w:r>
      <w:r>
        <w:rPr>
          <w:rFonts w:hint="eastAsia" w:ascii="方正仿宋_GBK" w:hAnsi="方正仿宋_GBK" w:eastAsia="方正仿宋_GBK" w:cs="方正仿宋_GBK"/>
          <w:bCs/>
          <w:sz w:val="32"/>
          <w:szCs w:val="32"/>
          <w:u w:val="single"/>
        </w:rPr>
        <w:t>天</w:t>
      </w:r>
      <w:r>
        <w:rPr>
          <w:rFonts w:hint="eastAsia" w:ascii="方正仿宋_GBK" w:hAnsi="方正仿宋_GBK" w:eastAsia="方正仿宋_GBK" w:cs="方正仿宋_GBK"/>
          <w:bCs/>
          <w:sz w:val="32"/>
          <w:szCs w:val="32"/>
        </w:rPr>
        <w:t>。</w:t>
      </w:r>
    </w:p>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五、付款方式</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高新区2</w:t>
      </w:r>
      <w:r>
        <w:rPr>
          <w:rFonts w:ascii="方正仿宋_GBK" w:hAnsi="方正仿宋_GBK" w:eastAsia="方正仿宋_GBK" w:cs="方正仿宋_GBK"/>
          <w:bCs/>
          <w:sz w:val="32"/>
          <w:szCs w:val="32"/>
        </w:rPr>
        <w:t>022</w:t>
      </w:r>
      <w:r>
        <w:rPr>
          <w:rFonts w:hint="eastAsia" w:ascii="方正仿宋_GBK" w:hAnsi="方正仿宋_GBK" w:eastAsia="方正仿宋_GBK" w:cs="方正仿宋_GBK"/>
          <w:bCs/>
          <w:sz w:val="32"/>
          <w:szCs w:val="32"/>
        </w:rPr>
        <w:t>年度企业环境信用评价工作完成并验收合格后，中标人向高新区生态环境局开具发票，采购人向中标人支付100%的款项（无息）。</w:t>
      </w:r>
    </w:p>
    <w:p>
      <w:pPr>
        <w:pStyle w:val="4"/>
        <w:spacing w:before="0" w:after="0" w:line="600" w:lineRule="exact"/>
        <w:rPr>
          <w:rFonts w:ascii="方正黑体_GBK" w:hAnsi="方正黑体_GBK" w:eastAsia="方正黑体_GBK" w:cs="方正黑体_GBK"/>
          <w:b w:val="0"/>
          <w:bCs/>
          <w:szCs w:val="32"/>
        </w:rPr>
      </w:pPr>
      <w:bookmarkStart w:id="19" w:name="_Toc20778"/>
      <w:bookmarkStart w:id="20" w:name="_Toc11828"/>
      <w:bookmarkStart w:id="21" w:name="_Toc3475"/>
      <w:bookmarkStart w:id="22" w:name="_Toc27955"/>
      <w:bookmarkStart w:id="23" w:name="_Toc25886"/>
      <w:bookmarkStart w:id="24" w:name="_Toc5085"/>
      <w:bookmarkStart w:id="25" w:name="_Toc9654"/>
      <w:bookmarkStart w:id="26" w:name="_Toc25516"/>
      <w:bookmarkStart w:id="27" w:name="_Toc14778"/>
      <w:bookmarkStart w:id="28" w:name="_Toc15478"/>
      <w:bookmarkStart w:id="29" w:name="_Toc13969"/>
      <w:bookmarkStart w:id="30" w:name="_Toc31315"/>
      <w:bookmarkStart w:id="31" w:name="_Toc9027"/>
      <w:bookmarkStart w:id="32" w:name="_Toc19730"/>
      <w:r>
        <w:rPr>
          <w:rFonts w:hint="eastAsia" w:ascii="方正黑体_GBK" w:hAnsi="方正黑体_GBK" w:eastAsia="方正黑体_GBK" w:cs="方正黑体_GBK"/>
          <w:b w:val="0"/>
          <w:bCs/>
          <w:szCs w:val="32"/>
        </w:rPr>
        <w:t>六、联系方式</w:t>
      </w:r>
      <w:bookmarkEnd w:id="19"/>
      <w:bookmarkEnd w:id="20"/>
      <w:bookmarkEnd w:id="21"/>
      <w:bookmarkEnd w:id="22"/>
      <w:bookmarkEnd w:id="23"/>
      <w:bookmarkEnd w:id="24"/>
      <w:bookmarkEnd w:id="25"/>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采购人：重庆高新技术产业开发区管理委员会生态环境局</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联系人：张臻</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话：0</w:t>
      </w:r>
      <w:r>
        <w:rPr>
          <w:rFonts w:ascii="方正仿宋_GBK" w:hAnsi="方正仿宋_GBK" w:eastAsia="方正仿宋_GBK" w:cs="方正仿宋_GBK"/>
          <w:bCs/>
          <w:sz w:val="32"/>
          <w:szCs w:val="32"/>
        </w:rPr>
        <w:t>23-68606509</w:t>
      </w:r>
    </w:p>
    <w:p>
      <w:pPr>
        <w:snapToGrid w:val="0"/>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地  址：重庆高新区高新大道6号</w:t>
      </w:r>
    </w:p>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七、</w:t>
      </w:r>
      <w:bookmarkEnd w:id="26"/>
      <w:bookmarkEnd w:id="27"/>
      <w:bookmarkEnd w:id="28"/>
      <w:bookmarkEnd w:id="29"/>
      <w:bookmarkEnd w:id="30"/>
      <w:bookmarkEnd w:id="31"/>
      <w:bookmarkEnd w:id="32"/>
      <w:r>
        <w:rPr>
          <w:rFonts w:hint="eastAsia" w:ascii="方正黑体_GBK" w:hAnsi="方正黑体_GBK" w:eastAsia="方正黑体_GBK" w:cs="方正黑体_GBK"/>
          <w:b w:val="0"/>
          <w:bCs/>
          <w:szCs w:val="32"/>
        </w:rPr>
        <w:t>其它有关规定</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1.凡有意参加云平台网上竞采的供应商，请于公告发布之日起至报名截止时间之前，在</w:t>
      </w:r>
      <w:bookmarkStart w:id="35" w:name="_GoBack"/>
      <w:bookmarkEnd w:id="35"/>
      <w:r>
        <w:rPr>
          <w:rFonts w:hint="eastAsia" w:ascii="方正仿宋_GBK" w:hAnsi="方正仿宋_GBK" w:eastAsia="方正仿宋_GBK" w:cs="方正仿宋_GBK"/>
          <w:bCs/>
          <w:sz w:val="32"/>
          <w:szCs w:val="32"/>
        </w:rPr>
        <w:t>网上下载查看本项目需求文件以及变更公告等云平台网上竞采前公布的所有项目资料，无论供应商下载查看与否，均视为已知晓所有云平台网上竞采实质性要求内容。</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2.供应商须在平台上报名并按要求上传响应文件，未按要求提供的为无效供应商。</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3.无论云平台网上竞采结果如何，供应商参与本项目的所有费用均由自行承担。</w:t>
      </w:r>
    </w:p>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八、评选方法</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综合评分法。满分100分，采购人对已入围评审的报名供应商的响应文件和报价进行评分，得分最高的供应商为成交供应商；未入围的报名供应商不参与评审。</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本次评分不组织线下评标。评分相同时，以报价最低为中选供应商。</w:t>
      </w:r>
    </w:p>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九、其他</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1.供应商必须对以上条款和服务承诺明确列出，承诺内容必须达到要求。</w:t>
      </w:r>
    </w:p>
    <w:p>
      <w:pPr>
        <w:spacing w:line="600" w:lineRule="exact"/>
        <w:ind w:firstLine="640" w:firstLineChars="200"/>
        <w:rPr>
          <w:rFonts w:ascii="方正仿宋_GBK" w:hAnsi="方正仿宋_GBK" w:eastAsia="方正仿宋_GBK" w:cs="方正仿宋_GBK"/>
          <w:bCs/>
          <w:sz w:val="32"/>
          <w:szCs w:val="32"/>
        </w:rPr>
      </w:pP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.其他未尽事宜由供需双方在采购合同中详细约定。</w:t>
      </w:r>
    </w:p>
    <w:p>
      <w:pPr>
        <w:pStyle w:val="4"/>
        <w:spacing w:before="0" w:after="0" w:line="600" w:lineRule="exact"/>
        <w:rPr>
          <w:rFonts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十、供应商提交响应文件</w:t>
      </w:r>
    </w:p>
    <w:p>
      <w:pPr>
        <w:spacing w:line="60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1.供应商线上报名、报价时需上传盖章后的电子文档一份。</w:t>
      </w:r>
    </w:p>
    <w:p>
      <w:pPr>
        <w:spacing w:line="600" w:lineRule="exact"/>
        <w:ind w:firstLine="640" w:firstLineChars="200"/>
        <w:rPr>
          <w:rFonts w:ascii="方正仿宋_GBK" w:hAnsi="方正仿宋_GBK" w:eastAsia="方正仿宋_GBK" w:cs="方正仿宋_GBK"/>
          <w:bCs/>
          <w:sz w:val="32"/>
          <w:szCs w:val="32"/>
        </w:rPr>
      </w:pPr>
      <w:r>
        <w:rPr>
          <w:rFonts w:ascii="方正仿宋_GBK" w:hAnsi="方正仿宋_GBK" w:eastAsia="方正仿宋_GBK" w:cs="方正仿宋_GBK"/>
          <w:bCs/>
          <w:sz w:val="32"/>
          <w:szCs w:val="32"/>
        </w:rPr>
        <w:t>2</w:t>
      </w:r>
      <w:r>
        <w:rPr>
          <w:rFonts w:hint="eastAsia" w:ascii="方正仿宋_GBK" w:hAnsi="方正仿宋_GBK" w:eastAsia="方正仿宋_GBK" w:cs="方正仿宋_GBK"/>
          <w:bCs/>
          <w:sz w:val="32"/>
          <w:szCs w:val="32"/>
        </w:rPr>
        <w:t>.采购人将以平台的线上资料作为评判依据。</w:t>
      </w:r>
    </w:p>
    <w:p>
      <w:pPr>
        <w:spacing w:line="600" w:lineRule="exact"/>
        <w:ind w:firstLine="640" w:firstLineChars="200"/>
        <w:rPr>
          <w:rFonts w:ascii="方正仿宋_GBK" w:hAnsi="方正仿宋_GBK" w:eastAsia="方正仿宋_GBK" w:cs="方正仿宋_GBK"/>
          <w:bCs/>
          <w:sz w:val="32"/>
          <w:szCs w:val="32"/>
        </w:rPr>
      </w:pPr>
      <w:r>
        <w:rPr>
          <w:rFonts w:ascii="方正仿宋_GBK" w:hAnsi="方正仿宋_GBK" w:eastAsia="方正仿宋_GBK" w:cs="方正仿宋_GBK"/>
          <w:bCs/>
          <w:sz w:val="32"/>
          <w:szCs w:val="32"/>
        </w:rPr>
        <w:t>3</w:t>
      </w:r>
      <w:r>
        <w:rPr>
          <w:rFonts w:hint="eastAsia" w:ascii="方正仿宋_GBK" w:hAnsi="方正仿宋_GBK" w:eastAsia="方正仿宋_GBK" w:cs="方正仿宋_GBK"/>
          <w:bCs/>
          <w:sz w:val="32"/>
          <w:szCs w:val="32"/>
        </w:rPr>
        <w:t>.供应商制作的响应文件电子文档，须按照要求制作，规定签字、盖章的地方必须按其规定签字、盖章，未按要求制作响应文件的进行废标处理。</w:t>
      </w:r>
    </w:p>
    <w:p>
      <w:pPr>
        <w:jc w:val="left"/>
        <w:rPr>
          <w:rFonts w:ascii="宋体" w:hAnsi="宋体" w:cs="宋体"/>
          <w:bCs/>
          <w:sz w:val="24"/>
          <w:szCs w:val="24"/>
        </w:rPr>
      </w:pPr>
      <w:r>
        <w:rPr>
          <w:rFonts w:hint="eastAsia" w:ascii="宋体" w:hAnsi="宋体" w:cs="宋体"/>
          <w:bCs/>
          <w:sz w:val="24"/>
          <w:szCs w:val="24"/>
        </w:rPr>
        <w:br w:type="page"/>
      </w:r>
    </w:p>
    <w:p>
      <w:pPr>
        <w:spacing w:line="312" w:lineRule="auto"/>
        <w:jc w:val="center"/>
        <w:rPr>
          <w:rFonts w:ascii="方正小标宋_GBK" w:hAnsi="方正小标宋_GBK" w:eastAsia="方正小标宋_GBK" w:cs="方正小标宋_GBK"/>
          <w:b/>
          <w:bCs/>
          <w:sz w:val="44"/>
          <w:szCs w:val="44"/>
        </w:rPr>
      </w:pPr>
      <w:bookmarkStart w:id="33" w:name="_Hlk27399823"/>
      <w:r>
        <w:rPr>
          <w:rFonts w:hint="eastAsia" w:ascii="方正小标宋_GBK" w:hAnsi="方正小标宋_GBK" w:eastAsia="方正小标宋_GBK" w:cs="方正小标宋_GBK"/>
          <w:b/>
          <w:bCs/>
          <w:sz w:val="44"/>
          <w:szCs w:val="44"/>
        </w:rPr>
        <w:t>评审标准</w:t>
      </w:r>
    </w:p>
    <w:tbl>
      <w:tblPr>
        <w:tblStyle w:val="57"/>
        <w:tblpPr w:leftFromText="180" w:rightFromText="180" w:vertAnchor="text" w:tblpXSpec="center" w:tblpY="1"/>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55"/>
        <w:gridCol w:w="472"/>
        <w:gridCol w:w="473"/>
        <w:gridCol w:w="4617"/>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99" w:type="dxa"/>
            <w:vAlign w:val="center"/>
          </w:tcPr>
          <w:p>
            <w:pPr>
              <w:spacing w:line="300" w:lineRule="exact"/>
              <w:jc w:val="center"/>
              <w:rPr>
                <w:rFonts w:eastAsia="方正黑体_GBK"/>
                <w:b/>
                <w:sz w:val="24"/>
                <w:szCs w:val="24"/>
              </w:rPr>
            </w:pPr>
            <w:r>
              <w:rPr>
                <w:rFonts w:eastAsia="方正黑体_GBK"/>
                <w:b/>
                <w:sz w:val="24"/>
                <w:szCs w:val="24"/>
              </w:rPr>
              <w:t>序号</w:t>
            </w:r>
          </w:p>
        </w:tc>
        <w:tc>
          <w:tcPr>
            <w:tcW w:w="1255" w:type="dxa"/>
            <w:vAlign w:val="center"/>
          </w:tcPr>
          <w:p>
            <w:pPr>
              <w:spacing w:line="300" w:lineRule="exact"/>
              <w:jc w:val="center"/>
              <w:rPr>
                <w:rFonts w:eastAsia="方正黑体_GBK"/>
                <w:b/>
                <w:sz w:val="24"/>
                <w:szCs w:val="24"/>
              </w:rPr>
            </w:pPr>
            <w:r>
              <w:rPr>
                <w:rFonts w:eastAsia="方正黑体_GBK"/>
                <w:b/>
                <w:sz w:val="24"/>
                <w:szCs w:val="24"/>
              </w:rPr>
              <w:t>评分因素</w:t>
            </w:r>
          </w:p>
        </w:tc>
        <w:tc>
          <w:tcPr>
            <w:tcW w:w="945" w:type="dxa"/>
            <w:gridSpan w:val="2"/>
            <w:vAlign w:val="center"/>
          </w:tcPr>
          <w:p>
            <w:pPr>
              <w:spacing w:line="300" w:lineRule="exact"/>
              <w:jc w:val="center"/>
              <w:rPr>
                <w:rFonts w:eastAsia="方正黑体_GBK"/>
                <w:b/>
                <w:sz w:val="24"/>
                <w:szCs w:val="24"/>
              </w:rPr>
            </w:pPr>
            <w:r>
              <w:rPr>
                <w:rFonts w:eastAsia="方正黑体_GBK"/>
                <w:b/>
                <w:sz w:val="24"/>
                <w:szCs w:val="24"/>
              </w:rPr>
              <w:t>分值</w:t>
            </w:r>
          </w:p>
        </w:tc>
        <w:tc>
          <w:tcPr>
            <w:tcW w:w="4617" w:type="dxa"/>
            <w:vAlign w:val="center"/>
          </w:tcPr>
          <w:p>
            <w:pPr>
              <w:spacing w:line="300" w:lineRule="exact"/>
              <w:jc w:val="center"/>
              <w:rPr>
                <w:rFonts w:eastAsia="方正黑体_GBK"/>
                <w:b/>
                <w:sz w:val="24"/>
                <w:szCs w:val="24"/>
              </w:rPr>
            </w:pPr>
            <w:r>
              <w:rPr>
                <w:rFonts w:eastAsia="方正黑体_GBK"/>
                <w:b/>
                <w:sz w:val="24"/>
                <w:szCs w:val="24"/>
              </w:rPr>
              <w:t>评分标准（以下评分标准为举例）</w:t>
            </w:r>
          </w:p>
        </w:tc>
        <w:tc>
          <w:tcPr>
            <w:tcW w:w="2260" w:type="dxa"/>
            <w:vAlign w:val="center"/>
          </w:tcPr>
          <w:p>
            <w:pPr>
              <w:pStyle w:val="174"/>
              <w:spacing w:before="0" w:after="0" w:line="300" w:lineRule="exact"/>
              <w:rPr>
                <w:rFonts w:eastAsia="方正黑体_GBK"/>
                <w:szCs w:val="24"/>
              </w:rPr>
            </w:pPr>
            <w:r>
              <w:rPr>
                <w:rFonts w:eastAsia="方正黑体_GBK"/>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99" w:type="dxa"/>
            <w:vAlign w:val="center"/>
          </w:tcPr>
          <w:p>
            <w:pPr>
              <w:spacing w:line="300" w:lineRule="exact"/>
              <w:jc w:val="center"/>
              <w:rPr>
                <w:rFonts w:eastAsia="方正仿宋_GBK"/>
                <w:sz w:val="24"/>
                <w:szCs w:val="24"/>
              </w:rPr>
            </w:pPr>
            <w:r>
              <w:rPr>
                <w:rFonts w:eastAsia="方正仿宋_GBK"/>
                <w:sz w:val="24"/>
                <w:szCs w:val="24"/>
              </w:rPr>
              <w:t>1</w:t>
            </w:r>
          </w:p>
        </w:tc>
        <w:tc>
          <w:tcPr>
            <w:tcW w:w="1255" w:type="dxa"/>
            <w:vAlign w:val="center"/>
          </w:tcPr>
          <w:p>
            <w:pPr>
              <w:spacing w:line="300" w:lineRule="exact"/>
              <w:jc w:val="center"/>
              <w:rPr>
                <w:rFonts w:eastAsia="方正仿宋_GBK"/>
                <w:sz w:val="24"/>
                <w:szCs w:val="24"/>
              </w:rPr>
            </w:pPr>
            <w:r>
              <w:rPr>
                <w:rFonts w:eastAsia="方正仿宋_GBK"/>
                <w:sz w:val="24"/>
                <w:szCs w:val="24"/>
              </w:rPr>
              <w:t>投标报价</w:t>
            </w:r>
          </w:p>
          <w:p>
            <w:pPr>
              <w:spacing w:line="300" w:lineRule="exact"/>
              <w:jc w:val="center"/>
              <w:rPr>
                <w:rFonts w:eastAsia="方正仿宋_GBK"/>
                <w:sz w:val="24"/>
                <w:szCs w:val="24"/>
              </w:rPr>
            </w:pPr>
            <w:r>
              <w:rPr>
                <w:rFonts w:eastAsia="方正仿宋_GBK"/>
                <w:sz w:val="24"/>
                <w:szCs w:val="24"/>
              </w:rPr>
              <w:t>（30%）</w:t>
            </w:r>
          </w:p>
        </w:tc>
        <w:tc>
          <w:tcPr>
            <w:tcW w:w="945" w:type="dxa"/>
            <w:gridSpan w:val="2"/>
            <w:vAlign w:val="center"/>
          </w:tcPr>
          <w:p>
            <w:pPr>
              <w:spacing w:line="300" w:lineRule="exact"/>
              <w:jc w:val="center"/>
              <w:rPr>
                <w:rFonts w:eastAsia="方正仿宋_GBK"/>
                <w:sz w:val="24"/>
                <w:szCs w:val="24"/>
              </w:rPr>
            </w:pPr>
            <w:r>
              <w:rPr>
                <w:rFonts w:eastAsia="方正仿宋_GBK"/>
                <w:sz w:val="24"/>
                <w:szCs w:val="24"/>
              </w:rPr>
              <w:t>30</w:t>
            </w:r>
          </w:p>
        </w:tc>
        <w:tc>
          <w:tcPr>
            <w:tcW w:w="4617" w:type="dxa"/>
            <w:vAlign w:val="center"/>
          </w:tcPr>
          <w:p>
            <w:pPr>
              <w:widowControl/>
              <w:spacing w:line="300" w:lineRule="exact"/>
              <w:outlineLvl w:val="2"/>
              <w:rPr>
                <w:rFonts w:eastAsia="方正仿宋_GBK"/>
                <w:sz w:val="24"/>
                <w:szCs w:val="24"/>
              </w:rPr>
            </w:pPr>
            <w:r>
              <w:rPr>
                <w:rFonts w:eastAsia="方正仿宋_GBK"/>
                <w:sz w:val="24"/>
                <w:szCs w:val="24"/>
              </w:rPr>
              <w:t>有效的投标报价中的最低价为评标基准价，按照下列公式计算每个投标人的投标价格得分。</w:t>
            </w:r>
          </w:p>
          <w:p>
            <w:pPr>
              <w:widowControl/>
              <w:spacing w:line="300" w:lineRule="exact"/>
              <w:outlineLvl w:val="2"/>
              <w:rPr>
                <w:rFonts w:eastAsia="方正仿宋_GBK"/>
                <w:sz w:val="24"/>
                <w:szCs w:val="24"/>
              </w:rPr>
            </w:pPr>
            <w:r>
              <w:rPr>
                <w:rFonts w:eastAsia="方正仿宋_GBK"/>
                <w:sz w:val="24"/>
                <w:szCs w:val="24"/>
              </w:rPr>
              <w:t>投标报价得分＝（评标基准价/投标报价）×价格权重×100。</w:t>
            </w:r>
          </w:p>
        </w:tc>
        <w:tc>
          <w:tcPr>
            <w:tcW w:w="2260" w:type="dxa"/>
            <w:vAlign w:val="center"/>
          </w:tcPr>
          <w:p>
            <w:pPr>
              <w:spacing w:line="300" w:lineRule="exact"/>
              <w:rPr>
                <w:rFonts w:eastAsia="方正仿宋_GBK"/>
                <w:sz w:val="24"/>
                <w:szCs w:val="24"/>
              </w:rPr>
            </w:pPr>
            <w:r>
              <w:rPr>
                <w:rFonts w:eastAsia="方正仿宋_GBK"/>
                <w:sz w:val="24"/>
                <w:szCs w:val="24"/>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699" w:type="dxa"/>
            <w:vAlign w:val="center"/>
          </w:tcPr>
          <w:p>
            <w:pPr>
              <w:spacing w:line="300" w:lineRule="exact"/>
              <w:jc w:val="center"/>
              <w:rPr>
                <w:rFonts w:eastAsia="方正仿宋_GBK"/>
                <w:sz w:val="24"/>
                <w:szCs w:val="24"/>
              </w:rPr>
            </w:pPr>
            <w:r>
              <w:rPr>
                <w:rFonts w:eastAsia="方正仿宋_GBK"/>
                <w:sz w:val="24"/>
                <w:szCs w:val="24"/>
              </w:rPr>
              <w:t>2</w:t>
            </w:r>
          </w:p>
        </w:tc>
        <w:tc>
          <w:tcPr>
            <w:tcW w:w="1255" w:type="dxa"/>
            <w:vAlign w:val="center"/>
          </w:tcPr>
          <w:p>
            <w:pPr>
              <w:spacing w:line="300" w:lineRule="exact"/>
              <w:jc w:val="center"/>
              <w:rPr>
                <w:rFonts w:eastAsia="方正仿宋_GBK"/>
                <w:sz w:val="24"/>
                <w:szCs w:val="24"/>
              </w:rPr>
            </w:pPr>
            <w:r>
              <w:rPr>
                <w:rFonts w:eastAsia="方正仿宋_GBK"/>
                <w:sz w:val="24"/>
                <w:szCs w:val="24"/>
              </w:rPr>
              <w:t>服务部分</w:t>
            </w:r>
          </w:p>
          <w:p>
            <w:pPr>
              <w:spacing w:line="300" w:lineRule="exact"/>
              <w:jc w:val="center"/>
              <w:rPr>
                <w:rFonts w:eastAsia="方正仿宋_GBK"/>
                <w:sz w:val="24"/>
                <w:szCs w:val="24"/>
              </w:rPr>
            </w:pPr>
            <w:r>
              <w:rPr>
                <w:rFonts w:eastAsia="方正仿宋_GBK"/>
                <w:sz w:val="24"/>
                <w:szCs w:val="24"/>
              </w:rPr>
              <w:t>（50%）</w:t>
            </w:r>
          </w:p>
        </w:tc>
        <w:tc>
          <w:tcPr>
            <w:tcW w:w="945" w:type="dxa"/>
            <w:gridSpan w:val="2"/>
            <w:vAlign w:val="center"/>
          </w:tcPr>
          <w:p>
            <w:pPr>
              <w:spacing w:line="300" w:lineRule="exact"/>
              <w:jc w:val="center"/>
              <w:rPr>
                <w:rFonts w:eastAsia="方正仿宋_GBK"/>
                <w:sz w:val="24"/>
                <w:szCs w:val="24"/>
              </w:rPr>
            </w:pPr>
            <w:r>
              <w:rPr>
                <w:rFonts w:eastAsia="方正仿宋_GBK"/>
                <w:sz w:val="24"/>
                <w:szCs w:val="24"/>
              </w:rPr>
              <w:t>50</w:t>
            </w:r>
          </w:p>
        </w:tc>
        <w:tc>
          <w:tcPr>
            <w:tcW w:w="4617" w:type="dxa"/>
            <w:vAlign w:val="center"/>
          </w:tcPr>
          <w:p>
            <w:pPr>
              <w:widowControl/>
              <w:spacing w:line="300" w:lineRule="exact"/>
              <w:outlineLvl w:val="2"/>
              <w:rPr>
                <w:rFonts w:eastAsia="方正仿宋_GBK"/>
                <w:sz w:val="24"/>
                <w:szCs w:val="24"/>
              </w:rPr>
            </w:pPr>
            <w:r>
              <w:rPr>
                <w:rFonts w:eastAsia="方正仿宋_GBK"/>
                <w:sz w:val="24"/>
                <w:szCs w:val="24"/>
              </w:rPr>
              <w:t>服务需求内容提供书面方案。</w:t>
            </w:r>
          </w:p>
          <w:p>
            <w:pPr>
              <w:widowControl/>
              <w:spacing w:line="300" w:lineRule="exact"/>
              <w:outlineLvl w:val="2"/>
              <w:rPr>
                <w:rFonts w:eastAsia="方正仿宋_GBK"/>
                <w:sz w:val="24"/>
                <w:szCs w:val="24"/>
              </w:rPr>
            </w:pPr>
            <w:r>
              <w:rPr>
                <w:rFonts w:eastAsia="方正仿宋_GBK"/>
                <w:sz w:val="24"/>
                <w:szCs w:val="24"/>
              </w:rPr>
              <w:t>1.服务工作方案。（20分）</w:t>
            </w:r>
          </w:p>
          <w:p>
            <w:pPr>
              <w:widowControl/>
              <w:spacing w:line="300" w:lineRule="exact"/>
              <w:outlineLvl w:val="2"/>
              <w:rPr>
                <w:rFonts w:eastAsia="方正仿宋_GBK"/>
                <w:sz w:val="24"/>
                <w:szCs w:val="24"/>
              </w:rPr>
            </w:pPr>
            <w:r>
              <w:rPr>
                <w:rFonts w:hint="eastAsia" w:ascii="宋体" w:hAnsi="宋体" w:cs="宋体"/>
                <w:sz w:val="24"/>
                <w:szCs w:val="24"/>
              </w:rPr>
              <w:t>①</w:t>
            </w:r>
            <w:r>
              <w:rPr>
                <w:rFonts w:eastAsia="方正仿宋_GBK"/>
                <w:sz w:val="24"/>
                <w:szCs w:val="24"/>
              </w:rPr>
              <w:t>方案表述清晰，能体现明确任务目标，重点突出，技术路线清晰，对项目特点、关键技术问题的认识到位得20分；</w:t>
            </w:r>
          </w:p>
          <w:p>
            <w:pPr>
              <w:widowControl/>
              <w:spacing w:line="300" w:lineRule="exact"/>
              <w:outlineLvl w:val="2"/>
              <w:rPr>
                <w:rFonts w:eastAsia="方正仿宋_GBK"/>
                <w:sz w:val="24"/>
                <w:szCs w:val="24"/>
              </w:rPr>
            </w:pPr>
            <w:r>
              <w:rPr>
                <w:rFonts w:hint="eastAsia" w:ascii="宋体" w:hAnsi="宋体" w:cs="宋体"/>
                <w:sz w:val="24"/>
                <w:szCs w:val="24"/>
              </w:rPr>
              <w:t>②</w:t>
            </w:r>
            <w:r>
              <w:rPr>
                <w:rFonts w:eastAsia="方正仿宋_GBK"/>
                <w:sz w:val="24"/>
                <w:szCs w:val="24"/>
              </w:rPr>
              <w:t>方案体现的任务目标不够准确，有体现重点但不突出，技术路线清晰但稍有不足，对项目的特点、关键技术问题有一定认识但不够清晰得15分；</w:t>
            </w:r>
          </w:p>
          <w:p>
            <w:pPr>
              <w:widowControl/>
              <w:spacing w:line="300" w:lineRule="exact"/>
              <w:outlineLvl w:val="2"/>
              <w:rPr>
                <w:rFonts w:eastAsia="方正仿宋_GBK"/>
                <w:sz w:val="24"/>
                <w:szCs w:val="24"/>
              </w:rPr>
            </w:pPr>
            <w:r>
              <w:rPr>
                <w:rFonts w:hint="eastAsia" w:ascii="宋体" w:hAnsi="宋体" w:cs="宋体"/>
                <w:sz w:val="24"/>
                <w:szCs w:val="24"/>
              </w:rPr>
              <w:t>③</w:t>
            </w:r>
            <w:r>
              <w:rPr>
                <w:rFonts w:eastAsia="方正仿宋_GBK"/>
                <w:sz w:val="24"/>
                <w:szCs w:val="24"/>
              </w:rPr>
              <w:t>方案体现出的任务目标不够明确，重点不够突出，对项目的特点、关键技术问题基本无认识得10分；</w:t>
            </w:r>
          </w:p>
          <w:p>
            <w:pPr>
              <w:widowControl/>
              <w:spacing w:line="300" w:lineRule="exact"/>
              <w:outlineLvl w:val="2"/>
              <w:rPr>
                <w:rFonts w:eastAsia="方正仿宋_GBK"/>
                <w:sz w:val="24"/>
                <w:szCs w:val="24"/>
              </w:rPr>
            </w:pPr>
            <w:r>
              <w:rPr>
                <w:rFonts w:hint="eastAsia" w:ascii="宋体" w:hAnsi="宋体" w:cs="宋体"/>
                <w:sz w:val="24"/>
                <w:szCs w:val="24"/>
              </w:rPr>
              <w:t>④</w:t>
            </w:r>
            <w:r>
              <w:rPr>
                <w:rFonts w:eastAsia="方正仿宋_GBK"/>
                <w:sz w:val="24"/>
                <w:szCs w:val="24"/>
              </w:rPr>
              <w:t>无方案得0分。</w:t>
            </w:r>
          </w:p>
          <w:p>
            <w:pPr>
              <w:widowControl/>
              <w:spacing w:line="300" w:lineRule="exact"/>
              <w:outlineLvl w:val="2"/>
              <w:rPr>
                <w:rFonts w:eastAsia="方正仿宋_GBK"/>
                <w:sz w:val="24"/>
                <w:szCs w:val="24"/>
              </w:rPr>
            </w:pPr>
          </w:p>
          <w:p>
            <w:pPr>
              <w:widowControl/>
              <w:spacing w:line="300" w:lineRule="exact"/>
              <w:outlineLvl w:val="2"/>
              <w:rPr>
                <w:rFonts w:eastAsia="方正仿宋_GBK"/>
                <w:sz w:val="24"/>
                <w:szCs w:val="24"/>
              </w:rPr>
            </w:pPr>
            <w:r>
              <w:rPr>
                <w:rFonts w:eastAsia="方正仿宋_GBK"/>
                <w:sz w:val="24"/>
                <w:szCs w:val="24"/>
              </w:rPr>
              <w:t>2、培训方案（15分）</w:t>
            </w:r>
          </w:p>
          <w:p>
            <w:pPr>
              <w:widowControl/>
              <w:spacing w:line="300" w:lineRule="exact"/>
              <w:outlineLvl w:val="2"/>
              <w:rPr>
                <w:rFonts w:eastAsia="方正仿宋_GBK"/>
                <w:sz w:val="24"/>
                <w:szCs w:val="24"/>
              </w:rPr>
            </w:pPr>
            <w:r>
              <w:rPr>
                <w:rFonts w:hint="eastAsia" w:ascii="宋体" w:hAnsi="宋体" w:cs="宋体"/>
                <w:sz w:val="24"/>
                <w:szCs w:val="24"/>
              </w:rPr>
              <w:t>①</w:t>
            </w:r>
            <w:r>
              <w:rPr>
                <w:rFonts w:eastAsia="方正仿宋_GBK"/>
                <w:sz w:val="24"/>
                <w:szCs w:val="24"/>
              </w:rPr>
              <w:t>方案表述清晰，能完全理解培训目的，有合理、有效的培训计划及保障措施，得15分；</w:t>
            </w:r>
          </w:p>
          <w:p>
            <w:pPr>
              <w:widowControl/>
              <w:spacing w:line="300" w:lineRule="exact"/>
              <w:outlineLvl w:val="2"/>
              <w:rPr>
                <w:rFonts w:eastAsia="方正仿宋_GBK"/>
                <w:sz w:val="24"/>
                <w:szCs w:val="24"/>
              </w:rPr>
            </w:pPr>
            <w:r>
              <w:rPr>
                <w:rFonts w:hint="eastAsia" w:ascii="宋体" w:hAnsi="宋体" w:cs="宋体"/>
                <w:sz w:val="24"/>
                <w:szCs w:val="24"/>
              </w:rPr>
              <w:t>②</w:t>
            </w:r>
            <w:r>
              <w:rPr>
                <w:rFonts w:eastAsia="方正仿宋_GBK"/>
                <w:sz w:val="24"/>
                <w:szCs w:val="24"/>
              </w:rPr>
              <w:t>方案表述不够清晰，培训目的不够明确，培训计划及保障措施不够合理、有效的，得10分；</w:t>
            </w:r>
          </w:p>
          <w:p>
            <w:pPr>
              <w:widowControl/>
              <w:spacing w:line="300" w:lineRule="exact"/>
              <w:outlineLvl w:val="2"/>
              <w:rPr>
                <w:rFonts w:eastAsia="方正仿宋_GBK"/>
                <w:sz w:val="24"/>
                <w:szCs w:val="24"/>
              </w:rPr>
            </w:pPr>
            <w:r>
              <w:rPr>
                <w:rFonts w:hint="eastAsia" w:ascii="宋体" w:hAnsi="宋体" w:cs="宋体"/>
                <w:sz w:val="24"/>
                <w:szCs w:val="24"/>
              </w:rPr>
              <w:t>③</w:t>
            </w:r>
            <w:r>
              <w:rPr>
                <w:rFonts w:eastAsia="方正仿宋_GBK"/>
                <w:sz w:val="24"/>
                <w:szCs w:val="24"/>
              </w:rPr>
              <w:t>无方案得0分。</w:t>
            </w:r>
          </w:p>
          <w:p>
            <w:pPr>
              <w:widowControl/>
              <w:spacing w:line="300" w:lineRule="exact"/>
              <w:outlineLvl w:val="2"/>
              <w:rPr>
                <w:rFonts w:eastAsia="方正仿宋_GBK"/>
                <w:sz w:val="24"/>
                <w:szCs w:val="24"/>
              </w:rPr>
            </w:pPr>
          </w:p>
          <w:p>
            <w:pPr>
              <w:widowControl/>
              <w:spacing w:line="300" w:lineRule="exact"/>
              <w:outlineLvl w:val="2"/>
              <w:rPr>
                <w:rFonts w:eastAsia="方正仿宋_GBK"/>
                <w:sz w:val="24"/>
                <w:szCs w:val="24"/>
              </w:rPr>
            </w:pPr>
            <w:r>
              <w:rPr>
                <w:rFonts w:eastAsia="方正仿宋_GBK"/>
                <w:sz w:val="24"/>
                <w:szCs w:val="24"/>
              </w:rPr>
              <w:t>3、现场勘查方案（15分）</w:t>
            </w:r>
          </w:p>
          <w:p>
            <w:pPr>
              <w:widowControl/>
              <w:spacing w:line="300" w:lineRule="exact"/>
              <w:outlineLvl w:val="2"/>
              <w:rPr>
                <w:rFonts w:eastAsia="方正仿宋_GBK"/>
                <w:sz w:val="24"/>
                <w:szCs w:val="24"/>
              </w:rPr>
            </w:pPr>
            <w:r>
              <w:rPr>
                <w:rFonts w:hint="eastAsia" w:ascii="宋体" w:hAnsi="宋体" w:cs="宋体"/>
                <w:sz w:val="24"/>
                <w:szCs w:val="24"/>
              </w:rPr>
              <w:t>①</w:t>
            </w:r>
            <w:r>
              <w:rPr>
                <w:rFonts w:eastAsia="方正仿宋_GBK"/>
                <w:sz w:val="24"/>
                <w:szCs w:val="24"/>
              </w:rPr>
              <w:t>勘查方案表述清晰，有合理、有效的现场勘查实施计划及保障措施，得15分；</w:t>
            </w:r>
          </w:p>
          <w:p>
            <w:pPr>
              <w:widowControl/>
              <w:spacing w:line="300" w:lineRule="exact"/>
              <w:outlineLvl w:val="2"/>
              <w:rPr>
                <w:rFonts w:eastAsia="方正仿宋_GBK"/>
                <w:sz w:val="24"/>
                <w:szCs w:val="24"/>
              </w:rPr>
            </w:pPr>
            <w:r>
              <w:rPr>
                <w:rFonts w:hint="eastAsia" w:ascii="宋体" w:hAnsi="宋体" w:cs="宋体"/>
                <w:sz w:val="24"/>
                <w:szCs w:val="24"/>
              </w:rPr>
              <w:t>②</w:t>
            </w:r>
            <w:r>
              <w:rPr>
                <w:rFonts w:eastAsia="方正仿宋_GBK"/>
                <w:sz w:val="24"/>
                <w:szCs w:val="24"/>
              </w:rPr>
              <w:t>勘查方案表述不够清晰，现场勘查实施计划及保障措施不够合理、有效的，得10分；</w:t>
            </w:r>
          </w:p>
          <w:p>
            <w:pPr>
              <w:widowControl/>
              <w:spacing w:line="300" w:lineRule="exact"/>
              <w:outlineLvl w:val="2"/>
              <w:rPr>
                <w:rFonts w:eastAsia="方正仿宋_GBK"/>
                <w:sz w:val="24"/>
                <w:szCs w:val="24"/>
              </w:rPr>
            </w:pPr>
            <w:r>
              <w:rPr>
                <w:rFonts w:hint="eastAsia" w:ascii="宋体" w:hAnsi="宋体" w:cs="宋体"/>
                <w:sz w:val="24"/>
                <w:szCs w:val="24"/>
              </w:rPr>
              <w:t>③</w:t>
            </w:r>
            <w:r>
              <w:rPr>
                <w:rFonts w:eastAsia="方正仿宋_GBK"/>
                <w:sz w:val="24"/>
                <w:szCs w:val="24"/>
              </w:rPr>
              <w:t>无方案得0分。</w:t>
            </w:r>
          </w:p>
        </w:tc>
        <w:tc>
          <w:tcPr>
            <w:tcW w:w="2260" w:type="dxa"/>
            <w:vAlign w:val="center"/>
          </w:tcPr>
          <w:p>
            <w:pPr>
              <w:spacing w:line="300" w:lineRule="exact"/>
              <w:rPr>
                <w:rFonts w:eastAsia="方正仿宋_GBK"/>
                <w:sz w:val="24"/>
                <w:szCs w:val="24"/>
              </w:rPr>
            </w:pPr>
            <w:r>
              <w:rPr>
                <w:rFonts w:hint="eastAsia" w:eastAsia="方正仿宋_GBK"/>
                <w:sz w:val="24"/>
                <w:szCs w:val="24"/>
              </w:rPr>
              <w:t>提供相关方案，格式自定。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99" w:type="dxa"/>
            <w:vMerge w:val="restart"/>
            <w:vAlign w:val="center"/>
          </w:tcPr>
          <w:p>
            <w:pPr>
              <w:spacing w:line="300" w:lineRule="exact"/>
              <w:jc w:val="center"/>
              <w:rPr>
                <w:rFonts w:eastAsia="方正仿宋_GBK"/>
                <w:sz w:val="24"/>
                <w:szCs w:val="24"/>
              </w:rPr>
            </w:pPr>
            <w:r>
              <w:rPr>
                <w:rFonts w:eastAsia="方正仿宋_GBK"/>
                <w:sz w:val="24"/>
                <w:szCs w:val="24"/>
              </w:rPr>
              <w:t>3</w:t>
            </w:r>
          </w:p>
        </w:tc>
        <w:tc>
          <w:tcPr>
            <w:tcW w:w="1255" w:type="dxa"/>
            <w:vMerge w:val="restart"/>
            <w:vAlign w:val="center"/>
          </w:tcPr>
          <w:p>
            <w:pPr>
              <w:spacing w:line="300" w:lineRule="exact"/>
              <w:jc w:val="center"/>
              <w:rPr>
                <w:rFonts w:eastAsia="方正仿宋_GBK"/>
                <w:sz w:val="24"/>
                <w:szCs w:val="24"/>
              </w:rPr>
            </w:pPr>
            <w:r>
              <w:rPr>
                <w:rFonts w:eastAsia="方正仿宋_GBK"/>
                <w:sz w:val="24"/>
                <w:szCs w:val="24"/>
              </w:rPr>
              <w:t>商务部分</w:t>
            </w:r>
          </w:p>
          <w:p>
            <w:pPr>
              <w:spacing w:line="300" w:lineRule="exact"/>
              <w:jc w:val="center"/>
              <w:rPr>
                <w:rFonts w:eastAsia="方正仿宋_GBK"/>
                <w:sz w:val="24"/>
                <w:szCs w:val="24"/>
              </w:rPr>
            </w:pPr>
            <w:r>
              <w:rPr>
                <w:rFonts w:eastAsia="方正仿宋_GBK"/>
                <w:sz w:val="24"/>
                <w:szCs w:val="24"/>
              </w:rPr>
              <w:t>（20%）</w:t>
            </w:r>
          </w:p>
        </w:tc>
        <w:tc>
          <w:tcPr>
            <w:tcW w:w="472" w:type="dxa"/>
            <w:vAlign w:val="center"/>
          </w:tcPr>
          <w:p>
            <w:pPr>
              <w:spacing w:line="300" w:lineRule="exact"/>
              <w:jc w:val="center"/>
              <w:rPr>
                <w:rFonts w:eastAsia="方正仿宋_GBK"/>
                <w:sz w:val="24"/>
                <w:szCs w:val="24"/>
              </w:rPr>
            </w:pPr>
            <w:r>
              <w:rPr>
                <w:rFonts w:eastAsia="方正仿宋_GBK"/>
                <w:sz w:val="24"/>
                <w:szCs w:val="24"/>
              </w:rPr>
              <w:t>综合能力</w:t>
            </w:r>
          </w:p>
        </w:tc>
        <w:tc>
          <w:tcPr>
            <w:tcW w:w="473" w:type="dxa"/>
            <w:vAlign w:val="center"/>
          </w:tcPr>
          <w:p>
            <w:pPr>
              <w:spacing w:line="300" w:lineRule="exact"/>
              <w:jc w:val="center"/>
              <w:rPr>
                <w:rFonts w:eastAsia="方正仿宋_GBK"/>
                <w:sz w:val="24"/>
                <w:szCs w:val="24"/>
              </w:rPr>
            </w:pPr>
            <w:r>
              <w:rPr>
                <w:rFonts w:eastAsia="仿宋"/>
                <w:sz w:val="24"/>
                <w:szCs w:val="24"/>
              </w:rPr>
              <w:t>5</w:t>
            </w:r>
          </w:p>
        </w:tc>
        <w:tc>
          <w:tcPr>
            <w:tcW w:w="4617" w:type="dxa"/>
            <w:shd w:val="clear" w:color="auto" w:fill="auto"/>
            <w:vAlign w:val="center"/>
          </w:tcPr>
          <w:p>
            <w:pPr>
              <w:widowControl/>
              <w:spacing w:line="300" w:lineRule="exact"/>
              <w:outlineLvl w:val="2"/>
              <w:rPr>
                <w:rFonts w:eastAsia="方正仿宋_GBK"/>
                <w:sz w:val="24"/>
                <w:szCs w:val="24"/>
              </w:rPr>
            </w:pPr>
            <w:r>
              <w:rPr>
                <w:rFonts w:eastAsia="方正仿宋_GBK"/>
                <w:sz w:val="24"/>
                <w:szCs w:val="24"/>
              </w:rPr>
              <w:t>（1）供应商是否具有质量认证体系、环境体系认证、职业健康安全管理体系认证，每通过一个认证且在有效期内的</w:t>
            </w:r>
            <w:r>
              <w:rPr>
                <w:rFonts w:hint="eastAsia" w:eastAsia="方正仿宋_GBK"/>
                <w:sz w:val="24"/>
                <w:szCs w:val="24"/>
              </w:rPr>
              <w:t>得</w:t>
            </w:r>
            <w:r>
              <w:rPr>
                <w:rFonts w:eastAsia="方正仿宋_GBK"/>
                <w:sz w:val="24"/>
                <w:szCs w:val="24"/>
              </w:rPr>
              <w:t>1分，</w:t>
            </w:r>
            <w:r>
              <w:rPr>
                <w:rFonts w:hint="eastAsia" w:eastAsia="方正仿宋_GBK"/>
                <w:sz w:val="24"/>
                <w:szCs w:val="24"/>
              </w:rPr>
              <w:t>本项</w:t>
            </w:r>
            <w:r>
              <w:rPr>
                <w:rFonts w:eastAsia="方正仿宋_GBK"/>
                <w:sz w:val="24"/>
                <w:szCs w:val="24"/>
              </w:rPr>
              <w:t>最</w:t>
            </w:r>
            <w:r>
              <w:rPr>
                <w:rFonts w:hint="eastAsia" w:eastAsia="方正仿宋_GBK"/>
                <w:sz w:val="24"/>
                <w:szCs w:val="24"/>
              </w:rPr>
              <w:t>高得</w:t>
            </w:r>
            <w:r>
              <w:rPr>
                <w:rFonts w:eastAsia="方正仿宋_GBK"/>
                <w:sz w:val="24"/>
                <w:szCs w:val="24"/>
              </w:rPr>
              <w:t>3分。</w:t>
            </w:r>
          </w:p>
          <w:p>
            <w:pPr>
              <w:widowControl/>
              <w:spacing w:line="300" w:lineRule="exact"/>
              <w:outlineLvl w:val="2"/>
              <w:rPr>
                <w:rFonts w:hint="eastAsia" w:eastAsia="方正仿宋_GBK"/>
                <w:sz w:val="24"/>
                <w:szCs w:val="24"/>
              </w:rPr>
            </w:pPr>
            <w:r>
              <w:rPr>
                <w:rFonts w:eastAsia="方正仿宋_GBK"/>
                <w:sz w:val="24"/>
                <w:szCs w:val="24"/>
              </w:rPr>
              <w:t>（2）供应商为信用等级AAA级企业，拥有信用等级AAA证书的，得2分，否则不得分</w:t>
            </w:r>
            <w:r>
              <w:rPr>
                <w:rFonts w:hint="eastAsia" w:eastAsia="方正仿宋_GBK"/>
                <w:sz w:val="24"/>
                <w:szCs w:val="24"/>
              </w:rPr>
              <w:t>。</w:t>
            </w:r>
          </w:p>
        </w:tc>
        <w:tc>
          <w:tcPr>
            <w:tcW w:w="2260" w:type="dxa"/>
            <w:vAlign w:val="center"/>
          </w:tcPr>
          <w:p>
            <w:pPr>
              <w:widowControl/>
              <w:spacing w:line="300" w:lineRule="exact"/>
              <w:outlineLvl w:val="2"/>
              <w:rPr>
                <w:rFonts w:eastAsia="方正仿宋_GBK"/>
                <w:sz w:val="24"/>
                <w:szCs w:val="24"/>
              </w:rPr>
            </w:pPr>
            <w:r>
              <w:rPr>
                <w:rFonts w:eastAsia="方正仿宋_GBK"/>
                <w:sz w:val="24"/>
                <w:szCs w:val="24"/>
              </w:rPr>
              <w:t>提供证书等证明文件复印件，并加盖供应商公章，原件备查。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99" w:type="dxa"/>
            <w:vMerge w:val="continue"/>
            <w:vAlign w:val="center"/>
          </w:tcPr>
          <w:p>
            <w:pPr>
              <w:spacing w:line="300" w:lineRule="exact"/>
              <w:jc w:val="center"/>
              <w:rPr>
                <w:rFonts w:eastAsia="方正仿宋_GBK"/>
                <w:sz w:val="24"/>
                <w:szCs w:val="24"/>
              </w:rPr>
            </w:pPr>
          </w:p>
        </w:tc>
        <w:tc>
          <w:tcPr>
            <w:tcW w:w="1255" w:type="dxa"/>
            <w:vMerge w:val="continue"/>
            <w:vAlign w:val="center"/>
          </w:tcPr>
          <w:p>
            <w:pPr>
              <w:spacing w:line="300" w:lineRule="exact"/>
              <w:jc w:val="center"/>
              <w:rPr>
                <w:rFonts w:eastAsia="方正仿宋_GBK"/>
                <w:sz w:val="24"/>
                <w:szCs w:val="24"/>
              </w:rPr>
            </w:pPr>
          </w:p>
        </w:tc>
        <w:tc>
          <w:tcPr>
            <w:tcW w:w="472" w:type="dxa"/>
            <w:vAlign w:val="center"/>
          </w:tcPr>
          <w:p>
            <w:pPr>
              <w:spacing w:line="300" w:lineRule="exact"/>
              <w:jc w:val="center"/>
              <w:rPr>
                <w:rFonts w:eastAsia="方正仿宋_GBK"/>
                <w:sz w:val="24"/>
                <w:szCs w:val="24"/>
              </w:rPr>
            </w:pPr>
            <w:r>
              <w:rPr>
                <w:rFonts w:eastAsia="仿宋"/>
                <w:sz w:val="24"/>
                <w:szCs w:val="24"/>
              </w:rPr>
              <w:t>服务能力</w:t>
            </w:r>
          </w:p>
        </w:tc>
        <w:tc>
          <w:tcPr>
            <w:tcW w:w="473" w:type="dxa"/>
            <w:vAlign w:val="center"/>
          </w:tcPr>
          <w:p>
            <w:pPr>
              <w:spacing w:line="300" w:lineRule="exact"/>
              <w:jc w:val="center"/>
              <w:rPr>
                <w:rFonts w:eastAsia="方正仿宋_GBK"/>
                <w:sz w:val="24"/>
                <w:szCs w:val="24"/>
              </w:rPr>
            </w:pPr>
            <w:r>
              <w:rPr>
                <w:rFonts w:eastAsia="仿宋"/>
                <w:sz w:val="24"/>
                <w:szCs w:val="24"/>
              </w:rPr>
              <w:t>5</w:t>
            </w:r>
          </w:p>
        </w:tc>
        <w:tc>
          <w:tcPr>
            <w:tcW w:w="4617" w:type="dxa"/>
            <w:shd w:val="clear" w:color="auto" w:fill="auto"/>
            <w:vAlign w:val="center"/>
          </w:tcPr>
          <w:p>
            <w:pPr>
              <w:widowControl/>
              <w:spacing w:line="300" w:lineRule="exact"/>
              <w:outlineLvl w:val="2"/>
              <w:rPr>
                <w:rFonts w:eastAsia="方正仿宋_GBK"/>
                <w:sz w:val="24"/>
                <w:szCs w:val="24"/>
              </w:rPr>
            </w:pPr>
            <w:r>
              <w:rPr>
                <w:rFonts w:eastAsia="方正仿宋_GBK"/>
                <w:sz w:val="24"/>
                <w:szCs w:val="24"/>
              </w:rPr>
              <w:t>（1）供应商拟派驻的项目组人员中，拥有环保专业高级职称的</w:t>
            </w:r>
            <w:r>
              <w:rPr>
                <w:rFonts w:hint="eastAsia" w:eastAsia="方正仿宋_GBK"/>
                <w:sz w:val="24"/>
                <w:szCs w:val="24"/>
              </w:rPr>
              <w:t>，提供一人</w:t>
            </w:r>
            <w:r>
              <w:rPr>
                <w:rFonts w:eastAsia="方正仿宋_GBK"/>
                <w:sz w:val="24"/>
                <w:szCs w:val="24"/>
              </w:rPr>
              <w:t>得1分；</w:t>
            </w:r>
            <w:r>
              <w:rPr>
                <w:rFonts w:hint="eastAsia" w:eastAsia="方正仿宋_GBK"/>
                <w:sz w:val="24"/>
                <w:szCs w:val="24"/>
              </w:rPr>
              <w:t>在具有环保专业高级职称基础上，还同时</w:t>
            </w:r>
            <w:r>
              <w:rPr>
                <w:rFonts w:eastAsia="方正仿宋_GBK"/>
                <w:sz w:val="24"/>
                <w:szCs w:val="24"/>
              </w:rPr>
              <w:t>具有环境影响评价工程师资格的</w:t>
            </w:r>
            <w:r>
              <w:rPr>
                <w:rFonts w:hint="eastAsia" w:eastAsia="方正仿宋_GBK"/>
                <w:sz w:val="24"/>
                <w:szCs w:val="24"/>
              </w:rPr>
              <w:t>，提供一人再</w:t>
            </w:r>
            <w:r>
              <w:rPr>
                <w:rFonts w:eastAsia="方正仿宋_GBK"/>
                <w:sz w:val="24"/>
                <w:szCs w:val="24"/>
              </w:rPr>
              <w:t>加0.5分，</w:t>
            </w:r>
            <w:r>
              <w:rPr>
                <w:rFonts w:hint="eastAsia" w:eastAsia="方正仿宋_GBK"/>
                <w:sz w:val="24"/>
                <w:szCs w:val="24"/>
              </w:rPr>
              <w:t>本项</w:t>
            </w:r>
            <w:r>
              <w:rPr>
                <w:rFonts w:eastAsia="方正仿宋_GBK"/>
                <w:sz w:val="24"/>
                <w:szCs w:val="24"/>
              </w:rPr>
              <w:t>最高</w:t>
            </w:r>
            <w:r>
              <w:rPr>
                <w:rFonts w:hint="eastAsia" w:eastAsia="方正仿宋_GBK"/>
                <w:sz w:val="24"/>
                <w:szCs w:val="24"/>
              </w:rPr>
              <w:t>得</w:t>
            </w:r>
            <w:r>
              <w:rPr>
                <w:rFonts w:eastAsia="方正仿宋_GBK"/>
                <w:sz w:val="24"/>
                <w:szCs w:val="24"/>
              </w:rPr>
              <w:t>4分。</w:t>
            </w:r>
          </w:p>
          <w:p>
            <w:pPr>
              <w:widowControl/>
              <w:spacing w:line="300" w:lineRule="exact"/>
              <w:outlineLvl w:val="2"/>
              <w:rPr>
                <w:rFonts w:eastAsia="方正仿宋_GBK"/>
                <w:sz w:val="24"/>
                <w:szCs w:val="24"/>
              </w:rPr>
            </w:pPr>
            <w:r>
              <w:rPr>
                <w:rFonts w:eastAsia="方正仿宋_GBK"/>
                <w:sz w:val="24"/>
                <w:szCs w:val="24"/>
              </w:rPr>
              <w:t>（2）供应商承诺项目实施期间提供人员驻场服务（包括对参评企业开展技术培训、现场调查、全过程指导参评企业解决相关问题）得1分，否则不得分。</w:t>
            </w:r>
          </w:p>
        </w:tc>
        <w:tc>
          <w:tcPr>
            <w:tcW w:w="2260" w:type="dxa"/>
            <w:vAlign w:val="center"/>
          </w:tcPr>
          <w:p>
            <w:pPr>
              <w:widowControl/>
              <w:spacing w:line="300" w:lineRule="exact"/>
              <w:outlineLvl w:val="2"/>
              <w:rPr>
                <w:rFonts w:eastAsia="方正仿宋_GBK"/>
                <w:sz w:val="24"/>
                <w:szCs w:val="24"/>
              </w:rPr>
            </w:pPr>
            <w:r>
              <w:rPr>
                <w:rFonts w:eastAsia="方正仿宋_GBK"/>
                <w:sz w:val="24"/>
                <w:szCs w:val="24"/>
              </w:rPr>
              <w:t>1.提供服务团队人员名单、相关人员证书复印件、供应商为其个人连续3个月及以上缴纳社保的证明材料，并加盖供应商公章。</w:t>
            </w:r>
          </w:p>
          <w:p>
            <w:pPr>
              <w:widowControl/>
              <w:spacing w:line="300" w:lineRule="exact"/>
              <w:outlineLvl w:val="2"/>
              <w:rPr>
                <w:rFonts w:eastAsia="方正仿宋_GBK"/>
                <w:sz w:val="24"/>
                <w:szCs w:val="24"/>
              </w:rPr>
            </w:pPr>
            <w:r>
              <w:rPr>
                <w:rFonts w:eastAsia="方正仿宋_GBK"/>
                <w:sz w:val="24"/>
                <w:szCs w:val="24"/>
              </w:rPr>
              <w:t>2.供应商需提供驻场服务承诺函原件，并加盖供应商公章，否则不得分。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699" w:type="dxa"/>
            <w:vMerge w:val="continue"/>
            <w:vAlign w:val="center"/>
          </w:tcPr>
          <w:p>
            <w:pPr>
              <w:spacing w:line="300" w:lineRule="exact"/>
              <w:jc w:val="center"/>
              <w:rPr>
                <w:rFonts w:eastAsia="方正仿宋_GBK"/>
                <w:sz w:val="24"/>
                <w:szCs w:val="24"/>
              </w:rPr>
            </w:pPr>
          </w:p>
        </w:tc>
        <w:tc>
          <w:tcPr>
            <w:tcW w:w="1255" w:type="dxa"/>
            <w:vMerge w:val="continue"/>
            <w:vAlign w:val="center"/>
          </w:tcPr>
          <w:p>
            <w:pPr>
              <w:spacing w:line="300" w:lineRule="exact"/>
              <w:jc w:val="center"/>
              <w:rPr>
                <w:rFonts w:eastAsia="方正仿宋_GBK"/>
                <w:sz w:val="24"/>
                <w:szCs w:val="24"/>
              </w:rPr>
            </w:pPr>
          </w:p>
        </w:tc>
        <w:tc>
          <w:tcPr>
            <w:tcW w:w="472" w:type="dxa"/>
            <w:vAlign w:val="center"/>
          </w:tcPr>
          <w:p>
            <w:pPr>
              <w:spacing w:line="300" w:lineRule="exact"/>
              <w:jc w:val="center"/>
              <w:rPr>
                <w:rFonts w:eastAsia="方正仿宋_GBK"/>
                <w:sz w:val="24"/>
                <w:szCs w:val="24"/>
              </w:rPr>
            </w:pPr>
            <w:r>
              <w:rPr>
                <w:rFonts w:eastAsia="仿宋"/>
                <w:sz w:val="24"/>
                <w:szCs w:val="24"/>
              </w:rPr>
              <w:t>项目业绩</w:t>
            </w:r>
          </w:p>
        </w:tc>
        <w:tc>
          <w:tcPr>
            <w:tcW w:w="473" w:type="dxa"/>
            <w:vAlign w:val="center"/>
          </w:tcPr>
          <w:p>
            <w:pPr>
              <w:spacing w:line="300" w:lineRule="exact"/>
              <w:jc w:val="center"/>
              <w:rPr>
                <w:rFonts w:eastAsia="方正仿宋_GBK"/>
                <w:sz w:val="24"/>
                <w:szCs w:val="24"/>
              </w:rPr>
            </w:pPr>
            <w:r>
              <w:rPr>
                <w:rFonts w:eastAsia="仿宋"/>
                <w:sz w:val="24"/>
                <w:szCs w:val="24"/>
              </w:rPr>
              <w:t>10</w:t>
            </w:r>
          </w:p>
        </w:tc>
        <w:tc>
          <w:tcPr>
            <w:tcW w:w="4617" w:type="dxa"/>
            <w:vAlign w:val="center"/>
          </w:tcPr>
          <w:p>
            <w:pPr>
              <w:widowControl/>
              <w:spacing w:line="300" w:lineRule="exact"/>
              <w:outlineLvl w:val="2"/>
              <w:rPr>
                <w:rFonts w:eastAsia="方正仿宋_GBK"/>
                <w:sz w:val="24"/>
                <w:szCs w:val="24"/>
              </w:rPr>
            </w:pPr>
            <w:r>
              <w:rPr>
                <w:rFonts w:eastAsia="方正仿宋_GBK"/>
                <w:kern w:val="0"/>
                <w:sz w:val="24"/>
              </w:rPr>
              <w:t>2020年1月1日以来（以签订合同时间为准），供应商承接过地市级（区县级）及以上政府部门企业环境信用评价技术服务业绩的，每提供1个合同得2分，</w:t>
            </w:r>
            <w:r>
              <w:rPr>
                <w:rFonts w:hint="eastAsia" w:eastAsia="方正仿宋_GBK"/>
                <w:kern w:val="0"/>
                <w:sz w:val="24"/>
              </w:rPr>
              <w:t>本项</w:t>
            </w:r>
            <w:r>
              <w:rPr>
                <w:rFonts w:eastAsia="方正仿宋_GBK"/>
                <w:kern w:val="0"/>
                <w:sz w:val="24"/>
              </w:rPr>
              <w:t>最高得10分。</w:t>
            </w:r>
          </w:p>
        </w:tc>
        <w:tc>
          <w:tcPr>
            <w:tcW w:w="2260" w:type="dxa"/>
            <w:vAlign w:val="center"/>
          </w:tcPr>
          <w:p>
            <w:pPr>
              <w:widowControl/>
              <w:spacing w:line="300" w:lineRule="exact"/>
              <w:outlineLvl w:val="2"/>
              <w:rPr>
                <w:rFonts w:eastAsia="方正仿宋_GBK"/>
                <w:sz w:val="24"/>
                <w:szCs w:val="24"/>
              </w:rPr>
            </w:pPr>
            <w:r>
              <w:rPr>
                <w:rFonts w:eastAsia="方正仿宋_GBK"/>
                <w:sz w:val="24"/>
                <w:szCs w:val="24"/>
              </w:rPr>
              <w:t>提供合同复印件并加盖供应商公章，原件备查。（复印件能辨识买卖双方公章、签订时间）</w:t>
            </w:r>
          </w:p>
        </w:tc>
      </w:tr>
    </w:tbl>
    <w:p>
      <w:pPr>
        <w:spacing w:line="312" w:lineRule="auto"/>
        <w:jc w:val="center"/>
        <w:rPr>
          <w:rFonts w:ascii="方正小标宋_GBK" w:hAnsi="方正小标宋_GBK" w:eastAsia="方正小标宋_GBK" w:cs="方正小标宋_GBK"/>
          <w:b/>
          <w:bCs/>
          <w:sz w:val="44"/>
          <w:szCs w:val="44"/>
        </w:rPr>
      </w:pPr>
    </w:p>
    <w:bookmarkEnd w:id="33"/>
    <w:p>
      <w:pPr>
        <w:rPr>
          <w:rFonts w:ascii="宋体" w:hAnsi="宋体" w:cs="宋体"/>
          <w:color w:val="FF0000"/>
          <w:sz w:val="24"/>
          <w:szCs w:val="24"/>
        </w:rPr>
      </w:pPr>
      <w:r>
        <w:rPr>
          <w:rFonts w:ascii="宋体" w:hAnsi="宋体" w:cs="宋体"/>
          <w:color w:val="FF0000"/>
          <w:sz w:val="24"/>
          <w:szCs w:val="24"/>
        </w:rPr>
        <w:br w:type="page"/>
      </w:r>
    </w:p>
    <w:p>
      <w:pPr>
        <w:spacing w:line="312" w:lineRule="auto"/>
        <w:jc w:val="center"/>
        <w:rPr>
          <w:rFonts w:ascii="宋体" w:hAnsi="宋体" w:cs="宋体"/>
          <w:b/>
          <w:szCs w:val="28"/>
        </w:rPr>
      </w:pPr>
      <w:r>
        <w:rPr>
          <w:rFonts w:hint="eastAsia" w:ascii="宋体" w:hAnsi="宋体" w:cs="宋体"/>
          <w:b/>
          <w:szCs w:val="28"/>
        </w:rPr>
        <w:t>供应商编制响应文件要求</w:t>
      </w:r>
    </w:p>
    <w:p>
      <w:pPr>
        <w:numPr>
          <w:ilvl w:val="0"/>
          <w:numId w:val="13"/>
        </w:numPr>
        <w:spacing w:line="312" w:lineRule="auto"/>
        <w:rPr>
          <w:rFonts w:ascii="宋体" w:hAnsi="宋体" w:cs="宋体"/>
          <w:b/>
          <w:sz w:val="24"/>
          <w:szCs w:val="24"/>
        </w:rPr>
      </w:pPr>
      <w:r>
        <w:rPr>
          <w:rFonts w:hint="eastAsia" w:ascii="宋体" w:hAnsi="宋体" w:cs="宋体"/>
          <w:b/>
          <w:sz w:val="24"/>
          <w:szCs w:val="24"/>
        </w:rPr>
        <w:t>报价</w:t>
      </w:r>
    </w:p>
    <w:p>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我方收到____________________________（项目名称）的云平台网上竞采文件，经详细研究，决定参加该项目的云平台网上竞采。</w:t>
      </w:r>
    </w:p>
    <w:p>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1.愿意按照云平台网上竞采文件中的一切要求，提供本项目的技术服务，报价为人民币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3.我方承诺：本次云平台网上竞采的有效期为90天。</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4.我方完全理解和接受贵方云平台网上竞采文件的一切规定和要求及评审办法。</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5.在整个云平台网上竞采过程中，我方若有违规行为，接受按照重庆市政府采购·云平台规定给予惩罚。</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6.我方若中选，将按照云平台网上竞采结果签订合同，并且严格履行合同义务。本承诺函将成为合同不可分割的一部分，与合同具有同等的法律效力。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pPr>
        <w:snapToGrid w:val="0"/>
        <w:spacing w:line="360" w:lineRule="auto"/>
        <w:ind w:firstLine="480" w:firstLineChars="200"/>
        <w:rPr>
          <w:rFonts w:ascii="宋体" w:hAnsi="宋体" w:cs="宋体"/>
          <w:sz w:val="24"/>
          <w:szCs w:val="24"/>
        </w:rPr>
        <w:sectPr>
          <w:footerReference r:id="rId3" w:type="default"/>
          <w:pgSz w:w="11907" w:h="16840"/>
          <w:pgMar w:top="2098" w:right="1417" w:bottom="1531" w:left="1417" w:header="851" w:footer="992" w:gutter="0"/>
          <w:pgNumType w:start="1"/>
          <w:cols w:space="720" w:num="1"/>
          <w:docGrid w:linePitch="380" w:charSpace="-5735"/>
        </w:sectPr>
      </w:pPr>
      <w:r>
        <w:rPr>
          <w:rFonts w:hint="eastAsia" w:ascii="宋体" w:hAnsi="宋体" w:cs="宋体"/>
          <w:sz w:val="24"/>
          <w:szCs w:val="24"/>
        </w:rPr>
        <w:t xml:space="preserve">                                                  年   月   日</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7"/>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宋体" w:hAnsi="宋体" w:cs="宋体"/>
                <w:b/>
                <w:sz w:val="21"/>
                <w:szCs w:val="21"/>
              </w:rPr>
            </w:pPr>
            <w:r>
              <w:rPr>
                <w:rFonts w:hint="eastAsia" w:ascii="宋体" w:hAnsi="宋体" w:cs="宋体"/>
                <w:b/>
                <w:sz w:val="21"/>
                <w:szCs w:val="21"/>
              </w:rPr>
              <w:t>序号</w:t>
            </w:r>
          </w:p>
        </w:tc>
        <w:tc>
          <w:tcPr>
            <w:tcW w:w="1695" w:type="dxa"/>
            <w:vAlign w:val="center"/>
          </w:tcPr>
          <w:p>
            <w:pPr>
              <w:jc w:val="center"/>
              <w:rPr>
                <w:rFonts w:ascii="宋体" w:hAnsi="宋体" w:cs="宋体"/>
                <w:b/>
                <w:sz w:val="21"/>
                <w:szCs w:val="21"/>
              </w:rPr>
            </w:pPr>
            <w:r>
              <w:rPr>
                <w:rFonts w:hint="eastAsia" w:ascii="宋体" w:hAnsi="宋体" w:cs="宋体"/>
                <w:b/>
                <w:sz w:val="21"/>
                <w:szCs w:val="21"/>
              </w:rPr>
              <w:t>名称</w:t>
            </w:r>
          </w:p>
        </w:tc>
        <w:tc>
          <w:tcPr>
            <w:tcW w:w="3404" w:type="dxa"/>
            <w:vAlign w:val="center"/>
          </w:tcPr>
          <w:p>
            <w:pPr>
              <w:jc w:val="center"/>
              <w:rPr>
                <w:rFonts w:ascii="宋体" w:hAnsi="宋体" w:cs="宋体"/>
                <w:b/>
                <w:sz w:val="21"/>
                <w:szCs w:val="21"/>
              </w:rPr>
            </w:pPr>
            <w:r>
              <w:rPr>
                <w:rFonts w:hint="eastAsia" w:ascii="宋体" w:hAnsi="宋体" w:cs="宋体"/>
                <w:b/>
                <w:sz w:val="21"/>
                <w:szCs w:val="21"/>
              </w:rPr>
              <w:t>相关信息</w:t>
            </w:r>
          </w:p>
        </w:tc>
        <w:tc>
          <w:tcPr>
            <w:tcW w:w="1344" w:type="dxa"/>
            <w:vAlign w:val="center"/>
          </w:tcPr>
          <w:p>
            <w:pPr>
              <w:jc w:val="center"/>
              <w:rPr>
                <w:rFonts w:ascii="宋体" w:hAnsi="宋体" w:cs="宋体"/>
                <w:b/>
                <w:sz w:val="21"/>
                <w:szCs w:val="21"/>
              </w:rPr>
            </w:pPr>
            <w:r>
              <w:rPr>
                <w:rFonts w:hint="eastAsia" w:ascii="宋体" w:hAnsi="宋体" w:cs="宋体"/>
                <w:b/>
                <w:sz w:val="21"/>
                <w:szCs w:val="21"/>
              </w:rPr>
              <w:t>数量</w:t>
            </w:r>
          </w:p>
        </w:tc>
        <w:tc>
          <w:tcPr>
            <w:tcW w:w="1344" w:type="dxa"/>
            <w:vAlign w:val="center"/>
          </w:tcPr>
          <w:p>
            <w:pPr>
              <w:jc w:val="center"/>
              <w:rPr>
                <w:rFonts w:ascii="宋体" w:hAnsi="宋体" w:cs="宋体"/>
                <w:b/>
                <w:sz w:val="21"/>
                <w:szCs w:val="21"/>
              </w:rPr>
            </w:pPr>
            <w:r>
              <w:rPr>
                <w:rFonts w:hint="eastAsia" w:ascii="宋体" w:hAnsi="宋体" w:cs="宋体"/>
                <w:b/>
                <w:sz w:val="21"/>
                <w:szCs w:val="21"/>
              </w:rPr>
              <w:t>单价</w:t>
            </w:r>
          </w:p>
        </w:tc>
        <w:tc>
          <w:tcPr>
            <w:tcW w:w="1344" w:type="dxa"/>
            <w:vAlign w:val="center"/>
          </w:tcPr>
          <w:p>
            <w:pPr>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vAlign w:val="center"/>
          </w:tcPr>
          <w:p>
            <w:pPr>
              <w:jc w:val="center"/>
              <w:rPr>
                <w:rFonts w:ascii="宋体" w:hAnsi="宋体" w:cs="宋体"/>
                <w:sz w:val="21"/>
                <w:szCs w:val="21"/>
              </w:rPr>
            </w:pP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vAlign w:val="center"/>
          </w:tcPr>
          <w:p>
            <w:pPr>
              <w:jc w:val="center"/>
              <w:rPr>
                <w:rFonts w:ascii="宋体" w:hAnsi="宋体" w:cs="宋体"/>
                <w:sz w:val="21"/>
                <w:szCs w:val="21"/>
              </w:rPr>
            </w:pPr>
            <w:r>
              <w:rPr>
                <w:rFonts w:hint="eastAsia" w:ascii="宋体" w:hAnsi="宋体" w:cs="宋体"/>
                <w:sz w:val="21"/>
                <w:szCs w:val="21"/>
              </w:rPr>
              <w:t>人工费</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vAlign w:val="center"/>
          </w:tcPr>
          <w:p>
            <w:pPr>
              <w:jc w:val="center"/>
              <w:rPr>
                <w:rFonts w:ascii="宋体" w:hAnsi="宋体" w:cs="宋体"/>
                <w:sz w:val="21"/>
                <w:szCs w:val="21"/>
              </w:rPr>
            </w:pPr>
            <w:r>
              <w:rPr>
                <w:rFonts w:hint="eastAsia" w:ascii="宋体" w:hAnsi="宋体" w:cs="宋体"/>
                <w:sz w:val="21"/>
                <w:szCs w:val="21"/>
              </w:rPr>
              <w:t>各种税费</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vAlign w:val="center"/>
          </w:tcPr>
          <w:p>
            <w:pPr>
              <w:jc w:val="center"/>
              <w:rPr>
                <w:rFonts w:ascii="宋体" w:hAnsi="宋体" w:cs="宋体"/>
                <w:sz w:val="21"/>
                <w:szCs w:val="21"/>
              </w:rPr>
            </w:pPr>
            <w:r>
              <w:rPr>
                <w:rFonts w:hint="eastAsia" w:ascii="宋体" w:hAnsi="宋体" w:cs="宋体"/>
                <w:sz w:val="21"/>
                <w:szCs w:val="21"/>
              </w:rPr>
              <w:t>其他费用</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vAlign w:val="center"/>
          </w:tcPr>
          <w:p>
            <w:pPr>
              <w:jc w:val="center"/>
              <w:rPr>
                <w:rFonts w:ascii="宋体" w:hAnsi="宋体" w:cs="宋体"/>
                <w:sz w:val="21"/>
                <w:szCs w:val="21"/>
              </w:rPr>
            </w:pPr>
            <w:r>
              <w:rPr>
                <w:rFonts w:hint="eastAsia" w:ascii="宋体" w:hAnsi="宋体" w:cs="宋体"/>
                <w:sz w:val="21"/>
                <w:szCs w:val="21"/>
              </w:rPr>
              <w:t>……</w:t>
            </w:r>
          </w:p>
        </w:tc>
        <w:tc>
          <w:tcPr>
            <w:tcW w:w="3404" w:type="dxa"/>
          </w:tcPr>
          <w:p>
            <w:pPr>
              <w:jc w:val="center"/>
              <w:rPr>
                <w:rFonts w:ascii="宋体" w:hAnsi="宋体" w:cs="宋体"/>
                <w:sz w:val="21"/>
                <w:szCs w:val="21"/>
              </w:rPr>
            </w:pPr>
          </w:p>
        </w:tc>
        <w:tc>
          <w:tcPr>
            <w:tcW w:w="1344" w:type="dxa"/>
            <w:vAlign w:val="center"/>
          </w:tcPr>
          <w:p>
            <w:pPr>
              <w:jc w:val="center"/>
              <w:rPr>
                <w:rFonts w:ascii="宋体" w:hAnsi="宋体" w:cs="宋体"/>
                <w:sz w:val="21"/>
                <w:szCs w:val="21"/>
              </w:rPr>
            </w:pPr>
            <w:r>
              <w:rPr>
                <w:rFonts w:hint="eastAsia" w:ascii="宋体" w:hAnsi="宋体" w:cs="宋体"/>
                <w:sz w:val="21"/>
                <w:szCs w:val="21"/>
              </w:rPr>
              <w:t>/</w:t>
            </w:r>
          </w:p>
        </w:tc>
        <w:tc>
          <w:tcPr>
            <w:tcW w:w="1344" w:type="dxa"/>
          </w:tcPr>
          <w:p>
            <w:pPr>
              <w:jc w:val="center"/>
              <w:rPr>
                <w:rFonts w:ascii="宋体" w:hAnsi="宋体" w:cs="宋体"/>
                <w:sz w:val="21"/>
                <w:szCs w:val="21"/>
              </w:rPr>
            </w:pPr>
          </w:p>
        </w:tc>
        <w:tc>
          <w:tcPr>
            <w:tcW w:w="1344" w:type="dxa"/>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vAlign w:val="center"/>
          </w:tcPr>
          <w:p>
            <w:pPr>
              <w:jc w:val="center"/>
              <w:rPr>
                <w:rFonts w:ascii="宋体" w:hAnsi="宋体" w:cs="宋体"/>
                <w:sz w:val="21"/>
                <w:szCs w:val="21"/>
              </w:rPr>
            </w:pPr>
            <w:r>
              <w:rPr>
                <w:rFonts w:hint="eastAsia" w:ascii="宋体" w:hAnsi="宋体" w:cs="宋体"/>
                <w:sz w:val="21"/>
                <w:szCs w:val="21"/>
              </w:rPr>
              <w:t>总计</w:t>
            </w:r>
          </w:p>
        </w:tc>
        <w:tc>
          <w:tcPr>
            <w:tcW w:w="7436" w:type="dxa"/>
            <w:gridSpan w:val="4"/>
          </w:tcPr>
          <w:p>
            <w:pPr>
              <w:rPr>
                <w:rFonts w:ascii="宋体" w:hAnsi="宋体" w:cs="宋体"/>
                <w:sz w:val="21"/>
                <w:szCs w:val="21"/>
              </w:rPr>
            </w:pPr>
          </w:p>
        </w:tc>
      </w:tr>
    </w:tbl>
    <w:p>
      <w:pPr>
        <w:snapToGrid w:val="0"/>
        <w:spacing w:line="312" w:lineRule="auto"/>
        <w:ind w:firstLine="480" w:firstLineChars="200"/>
        <w:rPr>
          <w:rFonts w:ascii="宋体" w:hAnsi="宋体" w:cs="宋体"/>
          <w:sz w:val="24"/>
          <w:szCs w:val="28"/>
        </w:rPr>
      </w:pPr>
    </w:p>
    <w:p>
      <w:pPr>
        <w:snapToGrid w:val="0"/>
        <w:spacing w:line="312" w:lineRule="auto"/>
        <w:ind w:firstLine="480" w:firstLineChars="200"/>
        <w:rPr>
          <w:rFonts w:ascii="宋体" w:hAnsi="宋体" w:cs="宋体"/>
          <w:sz w:val="24"/>
          <w:szCs w:val="28"/>
        </w:rPr>
      </w:pPr>
    </w:p>
    <w:p>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pPr>
        <w:pStyle w:val="37"/>
        <w:spacing w:line="312" w:lineRule="auto"/>
        <w:ind w:firstLine="480"/>
        <w:rPr>
          <w:rFonts w:ascii="宋体" w:hAnsi="宋体" w:cs="宋体"/>
          <w:sz w:val="24"/>
          <w:szCs w:val="24"/>
        </w:rPr>
      </w:pPr>
    </w:p>
    <w:p>
      <w:pPr>
        <w:pStyle w:val="37"/>
        <w:spacing w:line="312" w:lineRule="auto"/>
        <w:ind w:firstLine="480"/>
        <w:rPr>
          <w:rFonts w:ascii="宋体" w:hAnsi="宋体" w:cs="宋体"/>
        </w:rPr>
      </w:pPr>
      <w:r>
        <w:rPr>
          <w:rFonts w:hint="eastAsia" w:ascii="宋体" w:hAnsi="宋体" w:cs="宋体"/>
          <w:sz w:val="24"/>
          <w:szCs w:val="24"/>
        </w:rPr>
        <w:t xml:space="preserve">            </w:t>
      </w:r>
    </w:p>
    <w:p>
      <w:pPr>
        <w:spacing w:line="312" w:lineRule="auto"/>
        <w:rPr>
          <w:rFonts w:ascii="宋体" w:hAnsi="宋体" w:cs="宋体"/>
        </w:rPr>
      </w:pPr>
    </w:p>
    <w:p>
      <w:pPr>
        <w:spacing w:line="312" w:lineRule="auto"/>
        <w:rPr>
          <w:rFonts w:ascii="宋体" w:hAnsi="宋体" w:cs="宋体"/>
        </w:rPr>
      </w:pPr>
      <w:r>
        <w:rPr>
          <w:rFonts w:hint="eastAsia" w:ascii="宋体" w:hAnsi="宋体" w:cs="宋体"/>
          <w:sz w:val="24"/>
          <w:szCs w:val="24"/>
        </w:rPr>
        <w:t xml:space="preserve">                                                   供应商名称（公章）：</w:t>
      </w:r>
    </w:p>
    <w:p>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pPr>
        <w:spacing w:line="312" w:lineRule="auto"/>
        <w:ind w:firstLine="420"/>
        <w:rPr>
          <w:rFonts w:ascii="宋体" w:hAnsi="宋体" w:cs="宋体"/>
          <w:b/>
          <w:szCs w:val="28"/>
        </w:rPr>
      </w:pPr>
    </w:p>
    <w:p>
      <w:pPr>
        <w:spacing w:line="312" w:lineRule="auto"/>
        <w:rPr>
          <w:rFonts w:ascii="宋体" w:hAnsi="宋体" w:cs="宋体"/>
          <w:b/>
          <w:szCs w:val="28"/>
        </w:rPr>
      </w:pPr>
    </w:p>
    <w:p>
      <w:pPr>
        <w:spacing w:line="312" w:lineRule="auto"/>
        <w:rPr>
          <w:rFonts w:ascii="宋体" w:hAnsi="宋体" w:cs="宋体"/>
          <w:b/>
          <w:szCs w:val="28"/>
        </w:rPr>
      </w:pPr>
    </w:p>
    <w:p>
      <w:pPr>
        <w:spacing w:line="312" w:lineRule="auto"/>
        <w:ind w:firstLine="480" w:firstLineChars="200"/>
        <w:rPr>
          <w:rFonts w:ascii="宋体" w:hAnsi="宋体" w:cs="宋体"/>
          <w:color w:val="FF0000"/>
          <w:sz w:val="24"/>
          <w:szCs w:val="24"/>
        </w:rPr>
      </w:pPr>
    </w:p>
    <w:p>
      <w:pPr>
        <w:spacing w:line="312" w:lineRule="auto"/>
        <w:ind w:firstLine="480" w:firstLineChars="200"/>
        <w:rPr>
          <w:rFonts w:ascii="宋体" w:hAnsi="宋体" w:cs="宋体"/>
          <w:color w:val="FF0000"/>
          <w:sz w:val="24"/>
          <w:szCs w:val="24"/>
        </w:rPr>
        <w:sectPr>
          <w:headerReference r:id="rId4" w:type="default"/>
          <w:pgSz w:w="11907" w:h="16840"/>
          <w:pgMar w:top="1134" w:right="1418" w:bottom="1134" w:left="1418" w:header="964" w:footer="992" w:gutter="0"/>
          <w:cols w:space="720" w:num="1"/>
          <w:docGrid w:linePitch="312" w:charSpace="0"/>
        </w:sectPr>
      </w:pPr>
    </w:p>
    <w:p>
      <w:pPr>
        <w:numPr>
          <w:ilvl w:val="0"/>
          <w:numId w:val="13"/>
        </w:numPr>
        <w:spacing w:line="312" w:lineRule="auto"/>
        <w:rPr>
          <w:rFonts w:ascii="宋体" w:hAnsi="宋体" w:cs="宋体"/>
          <w:b/>
          <w:sz w:val="24"/>
          <w:szCs w:val="24"/>
        </w:rPr>
      </w:pPr>
      <w:r>
        <w:rPr>
          <w:rFonts w:hint="eastAsia" w:ascii="宋体" w:hAnsi="宋体" w:cs="宋体"/>
          <w:b/>
          <w:sz w:val="24"/>
          <w:szCs w:val="24"/>
        </w:rPr>
        <w:t>服务方案</w:t>
      </w:r>
    </w:p>
    <w:p>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服务方案（格式自定）</w:t>
      </w:r>
    </w:p>
    <w:p>
      <w:pPr>
        <w:spacing w:line="312" w:lineRule="auto"/>
        <w:rPr>
          <w:rFonts w:ascii="宋体" w:hAnsi="宋体" w:cs="宋体"/>
          <w:b/>
          <w:sz w:val="24"/>
          <w:szCs w:val="24"/>
        </w:rPr>
      </w:pPr>
    </w:p>
    <w:p>
      <w:pPr>
        <w:pStyle w:val="4"/>
        <w:spacing w:before="0" w:after="0" w:line="360" w:lineRule="auto"/>
        <w:jc w:val="left"/>
        <w:rPr>
          <w:rFonts w:ascii="宋体" w:hAnsi="宋体" w:cs="宋体"/>
          <w:sz w:val="24"/>
          <w:szCs w:val="24"/>
        </w:rPr>
      </w:pPr>
    </w:p>
    <w:p>
      <w:pPr>
        <w:pStyle w:val="4"/>
        <w:numPr>
          <w:ilvl w:val="0"/>
          <w:numId w:val="13"/>
        </w:numPr>
        <w:spacing w:before="0" w:after="0" w:line="360" w:lineRule="auto"/>
        <w:jc w:val="left"/>
        <w:rPr>
          <w:rFonts w:ascii="宋体" w:hAnsi="宋体" w:cs="宋体"/>
          <w:sz w:val="24"/>
          <w:szCs w:val="24"/>
        </w:rPr>
      </w:pPr>
      <w:r>
        <w:rPr>
          <w:rFonts w:hint="eastAsia" w:ascii="宋体" w:hAnsi="宋体" w:cs="宋体"/>
          <w:sz w:val="24"/>
          <w:szCs w:val="24"/>
        </w:rPr>
        <w:t>资格条件及其他</w:t>
      </w:r>
    </w:p>
    <w:p>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按照采购文件要求提供扫描件，包括基本资格条件和特定资格条件的证明材料。</w:t>
      </w:r>
    </w:p>
    <w:p/>
    <w:p>
      <w:pPr>
        <w:pStyle w:val="4"/>
        <w:spacing w:before="0" w:after="0" w:line="312" w:lineRule="auto"/>
        <w:rPr>
          <w:rFonts w:ascii="宋体" w:hAnsi="宋体" w:cs="宋体"/>
          <w:sz w:val="24"/>
          <w:szCs w:val="24"/>
        </w:rPr>
      </w:pPr>
    </w:p>
    <w:p>
      <w:pPr>
        <w:pStyle w:val="4"/>
        <w:spacing w:before="0" w:after="0" w:line="312" w:lineRule="auto"/>
        <w:rPr>
          <w:rFonts w:ascii="宋体" w:hAnsi="宋体" w:cs="宋体"/>
          <w:sz w:val="28"/>
          <w:szCs w:val="28"/>
        </w:rPr>
      </w:pPr>
      <w:r>
        <w:rPr>
          <w:rFonts w:hint="eastAsia" w:ascii="宋体" w:hAnsi="宋体" w:cs="宋体"/>
          <w:sz w:val="24"/>
          <w:szCs w:val="24"/>
        </w:rPr>
        <w:t>四、其</w:t>
      </w:r>
      <w:r>
        <w:rPr>
          <w:rFonts w:hint="eastAsia" w:ascii="宋体" w:hAnsi="宋体" w:cs="宋体"/>
          <w:sz w:val="28"/>
          <w:szCs w:val="28"/>
        </w:rPr>
        <w:t>他应提供的资料</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r>
        <w:rPr>
          <w:rFonts w:hint="eastAsia" w:ascii="宋体" w:hAnsi="宋体" w:cs="宋体"/>
          <w:sz w:val="24"/>
          <w:szCs w:val="24"/>
        </w:rPr>
        <w:t>1.其他与项目有关的资料（自附）：供应商总体情况介绍、其他与本项目有关的资料等。</w:t>
      </w:r>
    </w:p>
    <w:p>
      <w:pPr>
        <w:tabs>
          <w:tab w:val="left" w:pos="6300"/>
        </w:tabs>
        <w:snapToGrid w:val="0"/>
        <w:spacing w:line="312" w:lineRule="auto"/>
        <w:rPr>
          <w:rFonts w:ascii="宋体" w:hAnsi="宋体" w:cs="宋体"/>
          <w:b/>
          <w:bCs/>
          <w:sz w:val="24"/>
          <w:szCs w:val="24"/>
        </w:rPr>
      </w:pPr>
    </w:p>
    <w:p>
      <w:pPr>
        <w:tabs>
          <w:tab w:val="left" w:pos="6300"/>
        </w:tabs>
        <w:snapToGrid w:val="0"/>
        <w:spacing w:line="312" w:lineRule="auto"/>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br w:type="page"/>
      </w:r>
    </w:p>
    <w:p>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五、</w:t>
      </w:r>
      <w:bookmarkStart w:id="34" w:name="_Hlk27399531"/>
      <w:r>
        <w:rPr>
          <w:rFonts w:hint="eastAsia" w:ascii="宋体" w:hAnsi="宋体" w:cs="宋体"/>
          <w:b/>
          <w:bCs/>
          <w:sz w:val="24"/>
          <w:szCs w:val="24"/>
        </w:rPr>
        <w:t>法定代表人授权委托书（格式）/法定代表人（格式）（二选一）</w:t>
      </w:r>
    </w:p>
    <w:p>
      <w:pPr>
        <w:tabs>
          <w:tab w:val="left" w:pos="6300"/>
        </w:tabs>
        <w:snapToGrid w:val="0"/>
        <w:spacing w:line="312" w:lineRule="auto"/>
        <w:jc w:val="center"/>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代表我单位全权办理上述项目的云平台网上竞采、签约等具体工作，并签署全部有关文件、协议及合同。</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代表我单位全权办理上述项目的云平台网上竞采、签约等具体工作，并签署全部有关文件、协议及合同。签字负全部责任。</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firstLine="570"/>
        <w:rPr>
          <w:rFonts w:hint="eastAsia" w:ascii="宋体" w:hAnsi="宋体" w:cs="宋体"/>
          <w:sz w:val="24"/>
          <w:szCs w:val="24"/>
        </w:rPr>
        <w:sectPr>
          <w:pgSz w:w="11907" w:h="16840"/>
          <w:pgMar w:top="1134" w:right="1418" w:bottom="1134" w:left="1418" w:header="964" w:footer="992" w:gutter="0"/>
          <w:cols w:space="720" w:num="1"/>
          <w:docGrid w:linePitch="312" w:charSpace="0"/>
        </w:sectPr>
      </w:pPr>
      <w:r>
        <w:rPr>
          <w:rFonts w:hint="eastAsia" w:ascii="宋体" w:hAnsi="宋体" w:cs="宋体"/>
          <w:sz w:val="24"/>
          <w:szCs w:val="24"/>
        </w:rPr>
        <w:t>（附：法定代表人身份证正反面复印件）</w:t>
      </w:r>
      <w:bookmarkEnd w:id="34"/>
    </w:p>
    <w:p>
      <w:pPr>
        <w:tabs>
          <w:tab w:val="left" w:pos="825"/>
        </w:tabs>
        <w:rPr>
          <w:rFonts w:hint="eastAsia" w:ascii="宋体" w:hAnsi="宋体" w:cs="宋体"/>
          <w:sz w:val="24"/>
          <w:szCs w:val="24"/>
        </w:rPr>
      </w:pPr>
    </w:p>
    <w:sectPr>
      <w:headerReference r:id="rId5" w:type="default"/>
      <w:pgSz w:w="11907" w:h="16840"/>
      <w:pgMar w:top="2098" w:right="1531" w:bottom="1984" w:left="1531"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-138430</wp:posOffset>
              </wp:positionV>
              <wp:extent cx="685165" cy="2832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5165"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rPr>
                              <w:rFonts w:ascii="方正仿宋_GBK" w:hAnsi="宋体" w:eastAsia="方正仿宋_GBK" w:cs="宋体"/>
                              <w:sz w:val="28"/>
                              <w:szCs w:val="28"/>
                            </w:rPr>
                          </w:pPr>
                          <w:r>
                            <w:rPr>
                              <w:rFonts w:hint="eastAsia" w:ascii="方正仿宋_GBK" w:hAnsi="宋体" w:eastAsia="方正仿宋_GBK" w:cs="宋体"/>
                              <w:sz w:val="28"/>
                              <w:szCs w:val="28"/>
                            </w:rPr>
                            <w:t xml:space="preserve">— </w:t>
                          </w:r>
                          <w:r>
                            <w:rPr>
                              <w:rFonts w:hint="eastAsia" w:ascii="方正仿宋_GBK" w:hAnsi="宋体" w:eastAsia="方正仿宋_GBK" w:cs="宋体"/>
                              <w:sz w:val="28"/>
                              <w:szCs w:val="28"/>
                            </w:rPr>
                            <w:fldChar w:fldCharType="begin"/>
                          </w:r>
                          <w:r>
                            <w:rPr>
                              <w:rFonts w:hint="eastAsia" w:ascii="方正仿宋_GBK" w:hAnsi="宋体" w:eastAsia="方正仿宋_GBK" w:cs="宋体"/>
                              <w:sz w:val="28"/>
                              <w:szCs w:val="28"/>
                            </w:rPr>
                            <w:instrText xml:space="preserve"> PAGE  \* MERGEFORMAT </w:instrText>
                          </w:r>
                          <w:r>
                            <w:rPr>
                              <w:rFonts w:hint="eastAsia" w:ascii="方正仿宋_GBK" w:hAnsi="宋体" w:eastAsia="方正仿宋_GBK" w:cs="宋体"/>
                              <w:sz w:val="28"/>
                              <w:szCs w:val="28"/>
                            </w:rPr>
                            <w:fldChar w:fldCharType="separate"/>
                          </w:r>
                          <w:r>
                            <w:rPr>
                              <w:rFonts w:hint="eastAsia" w:ascii="方正仿宋_GBK" w:hAnsi="宋体" w:eastAsia="方正仿宋_GBK" w:cs="宋体"/>
                              <w:sz w:val="28"/>
                              <w:szCs w:val="28"/>
                            </w:rPr>
                            <w:t>- 3 -</w:t>
                          </w:r>
                          <w:r>
                            <w:rPr>
                              <w:rFonts w:hint="eastAsia" w:ascii="方正仿宋_GBK" w:hAnsi="宋体" w:eastAsia="方正仿宋_GBK" w:cs="宋体"/>
                              <w:sz w:val="28"/>
                              <w:szCs w:val="28"/>
                            </w:rPr>
                            <w:fldChar w:fldCharType="end"/>
                          </w:r>
                          <w:r>
                            <w:rPr>
                              <w:rFonts w:hint="eastAsia" w:ascii="方正仿宋_GBK" w:hAnsi="宋体" w:eastAsia="方正仿宋_GBK" w:cs="宋体"/>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0.9pt;height:22.3pt;width:53.95pt;mso-position-horizontal:outside;mso-position-horizontal-relative:margin;z-index:251659264;mso-width-relative:page;mso-height-relative:page;" filled="f" stroked="f" coordsize="21600,21600" o:gfxdata="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yOpk1QAAAAcBAAAPAAAAAAAAAAEAIAAAACIAAABkcnMvZG93bnJldi54bWxQSwEC&#10;FAAUAAAACACHTuJAAoxCuzACAABVBAAADgAAAAAAAAABACAAAAAkAQAAZHJzL2Uyb0RvYy54bWxQ&#10;SwUGAAAAAAYABgBZAQAAxgUAAAAA&#10;">
              <v:fill on="f" focussize="0,0"/>
              <v:stroke on="f" weight="0.5pt"/>
              <v:imagedata o:title=""/>
              <o:lock v:ext="edit" aspectratio="f"/>
              <v:textbox inset="0mm,0mm,0mm,0mm">
                <w:txbxContent>
                  <w:p>
                    <w:pPr>
                      <w:pStyle w:val="35"/>
                      <w:rPr>
                        <w:rFonts w:ascii="方正仿宋_GBK" w:hAnsi="宋体" w:eastAsia="方正仿宋_GBK" w:cs="宋体"/>
                        <w:sz w:val="28"/>
                        <w:szCs w:val="28"/>
                      </w:rPr>
                    </w:pPr>
                    <w:r>
                      <w:rPr>
                        <w:rFonts w:hint="eastAsia" w:ascii="方正仿宋_GBK" w:hAnsi="宋体" w:eastAsia="方正仿宋_GBK" w:cs="宋体"/>
                        <w:sz w:val="28"/>
                        <w:szCs w:val="28"/>
                      </w:rPr>
                      <w:t xml:space="preserve">— </w:t>
                    </w:r>
                    <w:r>
                      <w:rPr>
                        <w:rFonts w:hint="eastAsia" w:ascii="方正仿宋_GBK" w:hAnsi="宋体" w:eastAsia="方正仿宋_GBK" w:cs="宋体"/>
                        <w:sz w:val="28"/>
                        <w:szCs w:val="28"/>
                      </w:rPr>
                      <w:fldChar w:fldCharType="begin"/>
                    </w:r>
                    <w:r>
                      <w:rPr>
                        <w:rFonts w:hint="eastAsia" w:ascii="方正仿宋_GBK" w:hAnsi="宋体" w:eastAsia="方正仿宋_GBK" w:cs="宋体"/>
                        <w:sz w:val="28"/>
                        <w:szCs w:val="28"/>
                      </w:rPr>
                      <w:instrText xml:space="preserve"> PAGE  \* MERGEFORMAT </w:instrText>
                    </w:r>
                    <w:r>
                      <w:rPr>
                        <w:rFonts w:hint="eastAsia" w:ascii="方正仿宋_GBK" w:hAnsi="宋体" w:eastAsia="方正仿宋_GBK" w:cs="宋体"/>
                        <w:sz w:val="28"/>
                        <w:szCs w:val="28"/>
                      </w:rPr>
                      <w:fldChar w:fldCharType="separate"/>
                    </w:r>
                    <w:r>
                      <w:rPr>
                        <w:rFonts w:hint="eastAsia" w:ascii="方正仿宋_GBK" w:hAnsi="宋体" w:eastAsia="方正仿宋_GBK" w:cs="宋体"/>
                        <w:sz w:val="28"/>
                        <w:szCs w:val="28"/>
                      </w:rPr>
                      <w:t>- 3 -</w:t>
                    </w:r>
                    <w:r>
                      <w:rPr>
                        <w:rFonts w:hint="eastAsia" w:ascii="方正仿宋_GBK" w:hAnsi="宋体" w:eastAsia="方正仿宋_GBK" w:cs="宋体"/>
                        <w:sz w:val="28"/>
                        <w:szCs w:val="28"/>
                      </w:rPr>
                      <w:fldChar w:fldCharType="end"/>
                    </w:r>
                    <w:r>
                      <w:rPr>
                        <w:rFonts w:hint="eastAsia" w:ascii="方正仿宋_GBK" w:hAnsi="宋体" w:eastAsia="方正仿宋_GBK"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OWE3OWQ5MGUxNzYxZTE4ZDcwNThjNmRlMGFiYmQifQ=="/>
  </w:docVars>
  <w:rsids>
    <w:rsidRoot w:val="00172A27"/>
    <w:rsid w:val="00001BE6"/>
    <w:rsid w:val="000144C9"/>
    <w:rsid w:val="00015039"/>
    <w:rsid w:val="0002088C"/>
    <w:rsid w:val="00033DAB"/>
    <w:rsid w:val="000342CA"/>
    <w:rsid w:val="000370BC"/>
    <w:rsid w:val="00042D13"/>
    <w:rsid w:val="00047AC9"/>
    <w:rsid w:val="000562E9"/>
    <w:rsid w:val="00056A6E"/>
    <w:rsid w:val="0007079C"/>
    <w:rsid w:val="0008422C"/>
    <w:rsid w:val="00084C93"/>
    <w:rsid w:val="0009641A"/>
    <w:rsid w:val="000B55BC"/>
    <w:rsid w:val="000E232C"/>
    <w:rsid w:val="000E3326"/>
    <w:rsid w:val="0011647C"/>
    <w:rsid w:val="00116BB6"/>
    <w:rsid w:val="00117275"/>
    <w:rsid w:val="001173E3"/>
    <w:rsid w:val="001306AD"/>
    <w:rsid w:val="0013735C"/>
    <w:rsid w:val="001435CF"/>
    <w:rsid w:val="001445A2"/>
    <w:rsid w:val="0015070D"/>
    <w:rsid w:val="0015525F"/>
    <w:rsid w:val="00165915"/>
    <w:rsid w:val="00165DD7"/>
    <w:rsid w:val="00166EEA"/>
    <w:rsid w:val="00172A27"/>
    <w:rsid w:val="001765E3"/>
    <w:rsid w:val="001829E7"/>
    <w:rsid w:val="001875C4"/>
    <w:rsid w:val="00192985"/>
    <w:rsid w:val="001961F3"/>
    <w:rsid w:val="001A0B78"/>
    <w:rsid w:val="001A3E64"/>
    <w:rsid w:val="001A6406"/>
    <w:rsid w:val="001B3165"/>
    <w:rsid w:val="001C297F"/>
    <w:rsid w:val="001F74AE"/>
    <w:rsid w:val="00203656"/>
    <w:rsid w:val="002122FC"/>
    <w:rsid w:val="002129C4"/>
    <w:rsid w:val="0021327B"/>
    <w:rsid w:val="0021595A"/>
    <w:rsid w:val="00217573"/>
    <w:rsid w:val="002236EA"/>
    <w:rsid w:val="00223B9B"/>
    <w:rsid w:val="0022691C"/>
    <w:rsid w:val="00226A1A"/>
    <w:rsid w:val="0023143A"/>
    <w:rsid w:val="002676F5"/>
    <w:rsid w:val="00297EC4"/>
    <w:rsid w:val="002B016C"/>
    <w:rsid w:val="002B0676"/>
    <w:rsid w:val="002B2598"/>
    <w:rsid w:val="002B7D19"/>
    <w:rsid w:val="002C7EDF"/>
    <w:rsid w:val="002D1886"/>
    <w:rsid w:val="002F2847"/>
    <w:rsid w:val="002F5C86"/>
    <w:rsid w:val="00313FC6"/>
    <w:rsid w:val="00314FE1"/>
    <w:rsid w:val="00316DF3"/>
    <w:rsid w:val="00330491"/>
    <w:rsid w:val="003332D6"/>
    <w:rsid w:val="0033562A"/>
    <w:rsid w:val="00336337"/>
    <w:rsid w:val="003366D5"/>
    <w:rsid w:val="00342ADE"/>
    <w:rsid w:val="00342E58"/>
    <w:rsid w:val="003453EB"/>
    <w:rsid w:val="00346447"/>
    <w:rsid w:val="00346E85"/>
    <w:rsid w:val="00350542"/>
    <w:rsid w:val="003609C0"/>
    <w:rsid w:val="003876E3"/>
    <w:rsid w:val="003878EB"/>
    <w:rsid w:val="003A0967"/>
    <w:rsid w:val="003B48D3"/>
    <w:rsid w:val="003D7E49"/>
    <w:rsid w:val="003E69B4"/>
    <w:rsid w:val="003E7CAB"/>
    <w:rsid w:val="003F7078"/>
    <w:rsid w:val="00415960"/>
    <w:rsid w:val="00420454"/>
    <w:rsid w:val="00421287"/>
    <w:rsid w:val="0043243B"/>
    <w:rsid w:val="00441FE4"/>
    <w:rsid w:val="0044680D"/>
    <w:rsid w:val="00460545"/>
    <w:rsid w:val="00464199"/>
    <w:rsid w:val="00472E1E"/>
    <w:rsid w:val="0048365E"/>
    <w:rsid w:val="00493794"/>
    <w:rsid w:val="00495D1A"/>
    <w:rsid w:val="0049754E"/>
    <w:rsid w:val="004A0DAE"/>
    <w:rsid w:val="004A1198"/>
    <w:rsid w:val="004A2061"/>
    <w:rsid w:val="004A6CE1"/>
    <w:rsid w:val="004B4D5B"/>
    <w:rsid w:val="004C0998"/>
    <w:rsid w:val="004C55B8"/>
    <w:rsid w:val="005061A2"/>
    <w:rsid w:val="00507899"/>
    <w:rsid w:val="005106F8"/>
    <w:rsid w:val="00521F48"/>
    <w:rsid w:val="00531162"/>
    <w:rsid w:val="00537A61"/>
    <w:rsid w:val="00544AC9"/>
    <w:rsid w:val="0055266E"/>
    <w:rsid w:val="0055762B"/>
    <w:rsid w:val="00562F84"/>
    <w:rsid w:val="005744C7"/>
    <w:rsid w:val="00580744"/>
    <w:rsid w:val="00587557"/>
    <w:rsid w:val="005C530A"/>
    <w:rsid w:val="005C5824"/>
    <w:rsid w:val="005C7A84"/>
    <w:rsid w:val="005F22A3"/>
    <w:rsid w:val="00614C62"/>
    <w:rsid w:val="00620C85"/>
    <w:rsid w:val="00625F79"/>
    <w:rsid w:val="00643888"/>
    <w:rsid w:val="006452FB"/>
    <w:rsid w:val="0065313C"/>
    <w:rsid w:val="00664DC0"/>
    <w:rsid w:val="00667DF3"/>
    <w:rsid w:val="00675CDE"/>
    <w:rsid w:val="006802F3"/>
    <w:rsid w:val="0068514B"/>
    <w:rsid w:val="006A2801"/>
    <w:rsid w:val="006A3401"/>
    <w:rsid w:val="006B1CBB"/>
    <w:rsid w:val="006B2D74"/>
    <w:rsid w:val="006C353F"/>
    <w:rsid w:val="006C7CD3"/>
    <w:rsid w:val="006E1FFD"/>
    <w:rsid w:val="00723BC4"/>
    <w:rsid w:val="00731090"/>
    <w:rsid w:val="007442A0"/>
    <w:rsid w:val="00755658"/>
    <w:rsid w:val="00761380"/>
    <w:rsid w:val="00763401"/>
    <w:rsid w:val="00764963"/>
    <w:rsid w:val="00773049"/>
    <w:rsid w:val="0078006A"/>
    <w:rsid w:val="00791D34"/>
    <w:rsid w:val="00794A8C"/>
    <w:rsid w:val="007A3A16"/>
    <w:rsid w:val="007D57AF"/>
    <w:rsid w:val="007E13BD"/>
    <w:rsid w:val="007E1D36"/>
    <w:rsid w:val="007E449C"/>
    <w:rsid w:val="007F2A53"/>
    <w:rsid w:val="008151B7"/>
    <w:rsid w:val="00847BB7"/>
    <w:rsid w:val="00852E93"/>
    <w:rsid w:val="00854CC0"/>
    <w:rsid w:val="00854ED3"/>
    <w:rsid w:val="00872901"/>
    <w:rsid w:val="008825DA"/>
    <w:rsid w:val="00894E75"/>
    <w:rsid w:val="008A5943"/>
    <w:rsid w:val="008A73C0"/>
    <w:rsid w:val="008B34C2"/>
    <w:rsid w:val="008D4061"/>
    <w:rsid w:val="008F3680"/>
    <w:rsid w:val="008F7EE6"/>
    <w:rsid w:val="009166A6"/>
    <w:rsid w:val="00922AA4"/>
    <w:rsid w:val="009261F0"/>
    <w:rsid w:val="0092650E"/>
    <w:rsid w:val="009302D1"/>
    <w:rsid w:val="00932A6E"/>
    <w:rsid w:val="00936181"/>
    <w:rsid w:val="00936197"/>
    <w:rsid w:val="00940646"/>
    <w:rsid w:val="009415FC"/>
    <w:rsid w:val="00950816"/>
    <w:rsid w:val="009570EF"/>
    <w:rsid w:val="00962AED"/>
    <w:rsid w:val="009710AF"/>
    <w:rsid w:val="0097589B"/>
    <w:rsid w:val="0099728C"/>
    <w:rsid w:val="009A2848"/>
    <w:rsid w:val="009A317C"/>
    <w:rsid w:val="009A770F"/>
    <w:rsid w:val="009B4011"/>
    <w:rsid w:val="009B5C25"/>
    <w:rsid w:val="009C25EB"/>
    <w:rsid w:val="009C273F"/>
    <w:rsid w:val="009E2D84"/>
    <w:rsid w:val="009E62CD"/>
    <w:rsid w:val="009F6FE4"/>
    <w:rsid w:val="00A04BBE"/>
    <w:rsid w:val="00A06259"/>
    <w:rsid w:val="00A16894"/>
    <w:rsid w:val="00A22CF3"/>
    <w:rsid w:val="00A3078D"/>
    <w:rsid w:val="00A32E78"/>
    <w:rsid w:val="00A341A1"/>
    <w:rsid w:val="00A56F1E"/>
    <w:rsid w:val="00A614CD"/>
    <w:rsid w:val="00A9133B"/>
    <w:rsid w:val="00AA2D02"/>
    <w:rsid w:val="00AA33C6"/>
    <w:rsid w:val="00AC755D"/>
    <w:rsid w:val="00AF00AF"/>
    <w:rsid w:val="00AF0A6F"/>
    <w:rsid w:val="00AF3E34"/>
    <w:rsid w:val="00B000A7"/>
    <w:rsid w:val="00B00E9F"/>
    <w:rsid w:val="00B01F29"/>
    <w:rsid w:val="00B07367"/>
    <w:rsid w:val="00B3337A"/>
    <w:rsid w:val="00B364B7"/>
    <w:rsid w:val="00B43355"/>
    <w:rsid w:val="00B47F90"/>
    <w:rsid w:val="00B609CA"/>
    <w:rsid w:val="00B60CC0"/>
    <w:rsid w:val="00B60F1F"/>
    <w:rsid w:val="00B730A8"/>
    <w:rsid w:val="00B87882"/>
    <w:rsid w:val="00BA1F2C"/>
    <w:rsid w:val="00BB3E0F"/>
    <w:rsid w:val="00BB3F7A"/>
    <w:rsid w:val="00BB7D50"/>
    <w:rsid w:val="00BC4CA6"/>
    <w:rsid w:val="00BC61F0"/>
    <w:rsid w:val="00BD51F3"/>
    <w:rsid w:val="00BD5A39"/>
    <w:rsid w:val="00BF23A8"/>
    <w:rsid w:val="00BF771D"/>
    <w:rsid w:val="00C04E26"/>
    <w:rsid w:val="00C100E9"/>
    <w:rsid w:val="00C13FEA"/>
    <w:rsid w:val="00C14479"/>
    <w:rsid w:val="00C338EB"/>
    <w:rsid w:val="00C34570"/>
    <w:rsid w:val="00C41E7F"/>
    <w:rsid w:val="00C83661"/>
    <w:rsid w:val="00C909A2"/>
    <w:rsid w:val="00C9757C"/>
    <w:rsid w:val="00CB395B"/>
    <w:rsid w:val="00CB5691"/>
    <w:rsid w:val="00CC15A7"/>
    <w:rsid w:val="00CC4F85"/>
    <w:rsid w:val="00CD410E"/>
    <w:rsid w:val="00CD444E"/>
    <w:rsid w:val="00CE5A97"/>
    <w:rsid w:val="00D21D58"/>
    <w:rsid w:val="00D226A5"/>
    <w:rsid w:val="00D2377C"/>
    <w:rsid w:val="00D40159"/>
    <w:rsid w:val="00D52F6B"/>
    <w:rsid w:val="00D67643"/>
    <w:rsid w:val="00D752CC"/>
    <w:rsid w:val="00D80EC2"/>
    <w:rsid w:val="00D81CB2"/>
    <w:rsid w:val="00D84EC7"/>
    <w:rsid w:val="00D858CC"/>
    <w:rsid w:val="00D96E00"/>
    <w:rsid w:val="00DA4850"/>
    <w:rsid w:val="00DA4BB7"/>
    <w:rsid w:val="00DA4BFB"/>
    <w:rsid w:val="00DF02E6"/>
    <w:rsid w:val="00E06276"/>
    <w:rsid w:val="00E10E98"/>
    <w:rsid w:val="00E20E28"/>
    <w:rsid w:val="00E2740B"/>
    <w:rsid w:val="00E30740"/>
    <w:rsid w:val="00E31591"/>
    <w:rsid w:val="00E40265"/>
    <w:rsid w:val="00E40564"/>
    <w:rsid w:val="00E45B7C"/>
    <w:rsid w:val="00E46A0A"/>
    <w:rsid w:val="00E47613"/>
    <w:rsid w:val="00E54E2D"/>
    <w:rsid w:val="00E558E3"/>
    <w:rsid w:val="00E670E8"/>
    <w:rsid w:val="00E863F1"/>
    <w:rsid w:val="00E90390"/>
    <w:rsid w:val="00E9163E"/>
    <w:rsid w:val="00ED6923"/>
    <w:rsid w:val="00F10101"/>
    <w:rsid w:val="00F21F7C"/>
    <w:rsid w:val="00F451BC"/>
    <w:rsid w:val="00F802C7"/>
    <w:rsid w:val="00F91500"/>
    <w:rsid w:val="00FC7767"/>
    <w:rsid w:val="00FD10E4"/>
    <w:rsid w:val="00FD14FB"/>
    <w:rsid w:val="00FD2836"/>
    <w:rsid w:val="00FD4085"/>
    <w:rsid w:val="00FE11A9"/>
    <w:rsid w:val="07610150"/>
    <w:rsid w:val="08E17FCF"/>
    <w:rsid w:val="08ED3546"/>
    <w:rsid w:val="0BAA1613"/>
    <w:rsid w:val="0D8C1CE8"/>
    <w:rsid w:val="0EFE3F6B"/>
    <w:rsid w:val="101E0686"/>
    <w:rsid w:val="1C0E01AF"/>
    <w:rsid w:val="1CD1375B"/>
    <w:rsid w:val="27C67B80"/>
    <w:rsid w:val="2A9A00C1"/>
    <w:rsid w:val="2FBB2C73"/>
    <w:rsid w:val="31D874D8"/>
    <w:rsid w:val="34CC3626"/>
    <w:rsid w:val="3801015A"/>
    <w:rsid w:val="39D961DF"/>
    <w:rsid w:val="3BA0392A"/>
    <w:rsid w:val="3EDB7D99"/>
    <w:rsid w:val="3FCD46EF"/>
    <w:rsid w:val="411B1F4A"/>
    <w:rsid w:val="43260821"/>
    <w:rsid w:val="45FB04BF"/>
    <w:rsid w:val="460A019A"/>
    <w:rsid w:val="4BC9209C"/>
    <w:rsid w:val="4E99569F"/>
    <w:rsid w:val="50D02189"/>
    <w:rsid w:val="5A9515D1"/>
    <w:rsid w:val="5B8C0E98"/>
    <w:rsid w:val="639635F7"/>
    <w:rsid w:val="65F91B55"/>
    <w:rsid w:val="67B15328"/>
    <w:rsid w:val="6F1A44BE"/>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99"/>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字符"/>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字符"/>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字符"/>
    <w:basedOn w:val="74"/>
    <w:link w:val="54"/>
    <w:qFormat/>
    <w:uiPriority w:val="0"/>
    <w:rPr>
      <w:sz w:val="24"/>
    </w:rPr>
  </w:style>
  <w:style w:type="character" w:customStyle="1" w:styleId="74">
    <w:name w:val="批注文字 字符1"/>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文本首行缩进 2 字符"/>
    <w:basedOn w:val="81"/>
    <w:link w:val="56"/>
    <w:qFormat/>
    <w:uiPriority w:val="0"/>
    <w:rPr>
      <w:kern w:val="2"/>
      <w:sz w:val="44"/>
    </w:rPr>
  </w:style>
  <w:style w:type="character" w:customStyle="1" w:styleId="81">
    <w:name w:val="正文文本缩进 字符"/>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字符"/>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字符"/>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字符1"/>
    <w:link w:val="3"/>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字符1"/>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字符"/>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字符"/>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BD26-64C0-7444-9B68-C2D6F1E7BA28}">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11</Pages>
  <Words>3186</Words>
  <Characters>3410</Characters>
  <Lines>29</Lines>
  <Paragraphs>8</Paragraphs>
  <TotalTime>614</TotalTime>
  <ScaleCrop>false</ScaleCrop>
  <LinksUpToDate>false</LinksUpToDate>
  <CharactersWithSpaces>3835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Administrator</cp:lastModifiedBy>
  <cp:lastPrinted>2022-03-08T02:42:00Z</cp:lastPrinted>
  <dcterms:modified xsi:type="dcterms:W3CDTF">2023-03-01T06:13:22Z</dcterms:modified>
  <dc:title>竞争性谈判文件</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4943EE8E65D546CFB282D07C4A3112FE</vt:lpwstr>
  </property>
</Properties>
</file>