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96" w:rsidRDefault="00062296" w:rsidP="00062296">
      <w:pPr>
        <w:wordWrap w:val="0"/>
        <w:snapToGrid w:val="0"/>
        <w:spacing w:line="594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2</w:t>
      </w:r>
    </w:p>
    <w:p w:rsidR="00062296" w:rsidRDefault="00062296" w:rsidP="00062296">
      <w:pPr>
        <w:spacing w:line="594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万州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区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产业情况</w:t>
      </w:r>
    </w:p>
    <w:p w:rsidR="00062296" w:rsidRDefault="00062296" w:rsidP="00062296">
      <w:pPr>
        <w:spacing w:line="594" w:lineRule="exact"/>
        <w:jc w:val="center"/>
        <w:rPr>
          <w:rFonts w:ascii="Times New Roman" w:eastAsia="方正楷体_GBK" w:hAnsi="Times New Roman" w:cs="Times New Roman"/>
          <w:color w:val="000000"/>
          <w:sz w:val="32"/>
          <w:szCs w:val="32"/>
        </w:rPr>
      </w:pPr>
    </w:p>
    <w:p w:rsidR="00062296" w:rsidRDefault="00062296" w:rsidP="0006229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万州地处重庆市东北部、三峡库区腹心，因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万川毕汇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而得名，因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万商云集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而闻名，因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万客来游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而扬名。幅员面积</w:t>
      </w:r>
      <w:r>
        <w:rPr>
          <w:rFonts w:ascii="Times New Roman" w:eastAsia="方正仿宋_GBK" w:hAnsi="Times New Roman" w:cs="Times New Roman"/>
          <w:sz w:val="32"/>
          <w:szCs w:val="32"/>
        </w:rPr>
        <w:t>3457</w:t>
      </w:r>
      <w:r>
        <w:rPr>
          <w:rFonts w:ascii="Times New Roman" w:eastAsia="方正仿宋_GBK" w:hAnsi="Times New Roman" w:cs="Times New Roman"/>
          <w:sz w:val="32"/>
          <w:szCs w:val="32"/>
        </w:rPr>
        <w:t>平方公里，总人口</w:t>
      </w:r>
      <w:r>
        <w:rPr>
          <w:rFonts w:ascii="Times New Roman" w:eastAsia="方正仿宋_GBK" w:hAnsi="Times New Roman" w:cs="Times New Roman"/>
          <w:sz w:val="32"/>
          <w:szCs w:val="32"/>
        </w:rPr>
        <w:t>175</w:t>
      </w:r>
      <w:r>
        <w:rPr>
          <w:rFonts w:ascii="Times New Roman" w:eastAsia="方正仿宋_GBK" w:hAnsi="Times New Roman" w:cs="Times New Roman"/>
          <w:sz w:val="32"/>
          <w:szCs w:val="32"/>
        </w:rPr>
        <w:t>万，辖</w:t>
      </w:r>
      <w:r>
        <w:rPr>
          <w:rFonts w:ascii="Times New Roman" w:eastAsia="方正仿宋_GBK" w:hAnsi="Times New Roman" w:cs="Times New Roman"/>
          <w:sz w:val="32"/>
          <w:szCs w:val="32"/>
        </w:rPr>
        <w:t>52</w:t>
      </w:r>
      <w:r>
        <w:rPr>
          <w:rFonts w:ascii="Times New Roman" w:eastAsia="方正仿宋_GBK" w:hAnsi="Times New Roman" w:cs="Times New Roman"/>
          <w:sz w:val="32"/>
          <w:szCs w:val="32"/>
        </w:rPr>
        <w:t>个镇乡街道，城区面积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平方公里、城区人口</w:t>
      </w:r>
      <w:r>
        <w:rPr>
          <w:rFonts w:ascii="Times New Roman" w:eastAsia="方正仿宋_GBK" w:hAnsi="Times New Roman" w:cs="Times New Roman"/>
          <w:sz w:val="32"/>
          <w:szCs w:val="32"/>
        </w:rPr>
        <w:t>102</w:t>
      </w:r>
      <w:r>
        <w:rPr>
          <w:rFonts w:ascii="Times New Roman" w:eastAsia="方正仿宋_GBK" w:hAnsi="Times New Roman" w:cs="Times New Roman"/>
          <w:sz w:val="32"/>
          <w:szCs w:val="32"/>
        </w:rPr>
        <w:t>万，累计搬迁安置三峡移民</w:t>
      </w:r>
      <w:r>
        <w:rPr>
          <w:rFonts w:ascii="Times New Roman" w:eastAsia="方正仿宋_GBK" w:hAnsi="Times New Roman" w:cs="Times New Roman"/>
          <w:sz w:val="32"/>
          <w:szCs w:val="32"/>
        </w:rPr>
        <w:t>26.3</w:t>
      </w:r>
      <w:r>
        <w:rPr>
          <w:rFonts w:ascii="Times New Roman" w:eastAsia="方正仿宋_GBK" w:hAnsi="Times New Roman" w:cs="Times New Roman"/>
          <w:sz w:val="32"/>
          <w:szCs w:val="32"/>
        </w:rPr>
        <w:t>万人，是重庆市移民任务最重、管理单元最多的区县。</w:t>
      </w:r>
    </w:p>
    <w:p w:rsidR="00062296" w:rsidRDefault="00062296" w:rsidP="00062296">
      <w:pPr>
        <w:spacing w:line="594" w:lineRule="exact"/>
        <w:ind w:left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一、</w:t>
      </w:r>
      <w:r>
        <w:rPr>
          <w:rFonts w:ascii="Times New Roman" w:eastAsia="方正黑体_GBK" w:hAnsi="Times New Roman" w:cs="Times New Roman"/>
          <w:sz w:val="32"/>
          <w:szCs w:val="32"/>
        </w:rPr>
        <w:t>万州区产业发展情况</w:t>
      </w:r>
    </w:p>
    <w:p w:rsidR="00062296" w:rsidRDefault="00062296" w:rsidP="0006229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年，初步核算，万州区全年实现地区生产总值</w:t>
      </w:r>
      <w:r>
        <w:rPr>
          <w:rFonts w:ascii="Times New Roman" w:eastAsia="方正仿宋_GBK" w:hAnsi="Times New Roman" w:cs="Times New Roman"/>
          <w:sz w:val="32"/>
          <w:szCs w:val="32"/>
        </w:rPr>
        <w:t>970.68</w:t>
      </w:r>
      <w:r>
        <w:rPr>
          <w:rFonts w:ascii="Times New Roman" w:eastAsia="方正仿宋_GBK" w:hAnsi="Times New Roman" w:cs="Times New Roman"/>
          <w:sz w:val="32"/>
          <w:szCs w:val="32"/>
        </w:rPr>
        <w:t>亿元，比上年增长</w:t>
      </w:r>
      <w:r>
        <w:rPr>
          <w:rFonts w:ascii="Times New Roman" w:eastAsia="方正仿宋_GBK" w:hAnsi="Times New Roman" w:cs="Times New Roman"/>
          <w:sz w:val="32"/>
          <w:szCs w:val="32"/>
        </w:rPr>
        <w:t>2.4%</w:t>
      </w:r>
      <w:r>
        <w:rPr>
          <w:rFonts w:ascii="Times New Roman" w:eastAsia="方正仿宋_GBK" w:hAnsi="Times New Roman" w:cs="Times New Roman"/>
          <w:sz w:val="32"/>
          <w:szCs w:val="32"/>
        </w:rPr>
        <w:t>。按产业分，第一产业增加值</w:t>
      </w:r>
      <w:r>
        <w:rPr>
          <w:rFonts w:ascii="Times New Roman" w:eastAsia="方正仿宋_GBK" w:hAnsi="Times New Roman" w:cs="Times New Roman"/>
          <w:sz w:val="32"/>
          <w:szCs w:val="32"/>
        </w:rPr>
        <w:t>95.97</w:t>
      </w:r>
      <w:r>
        <w:rPr>
          <w:rFonts w:ascii="Times New Roman" w:eastAsia="方正仿宋_GBK" w:hAnsi="Times New Roman" w:cs="Times New Roman"/>
          <w:sz w:val="32"/>
          <w:szCs w:val="32"/>
        </w:rPr>
        <w:t>亿元，增长</w:t>
      </w:r>
      <w:r>
        <w:rPr>
          <w:rFonts w:ascii="Times New Roman" w:eastAsia="方正仿宋_GBK" w:hAnsi="Times New Roman" w:cs="Times New Roman"/>
          <w:sz w:val="32"/>
          <w:szCs w:val="32"/>
        </w:rPr>
        <w:t>5.1%</w:t>
      </w:r>
      <w:r>
        <w:rPr>
          <w:rFonts w:ascii="Times New Roman" w:eastAsia="方正仿宋_GBK" w:hAnsi="Times New Roman" w:cs="Times New Roman"/>
          <w:sz w:val="32"/>
          <w:szCs w:val="32"/>
        </w:rPr>
        <w:t>；第二产业增加值</w:t>
      </w:r>
      <w:r>
        <w:rPr>
          <w:rFonts w:ascii="Times New Roman" w:eastAsia="方正仿宋_GBK" w:hAnsi="Times New Roman" w:cs="Times New Roman"/>
          <w:sz w:val="32"/>
          <w:szCs w:val="32"/>
        </w:rPr>
        <w:t>268</w:t>
      </w:r>
      <w:r>
        <w:rPr>
          <w:rFonts w:ascii="Times New Roman" w:eastAsia="方正仿宋_GBK" w:hAnsi="Times New Roman" w:cs="Times New Roman"/>
          <w:sz w:val="32"/>
          <w:szCs w:val="32"/>
        </w:rPr>
        <w:t>亿元，下降</w:t>
      </w:r>
      <w:r>
        <w:rPr>
          <w:rFonts w:ascii="Times New Roman" w:eastAsia="方正仿宋_GBK" w:hAnsi="Times New Roman" w:cs="Times New Roman"/>
          <w:sz w:val="32"/>
          <w:szCs w:val="32"/>
        </w:rPr>
        <w:t>0.3%</w:t>
      </w:r>
      <w:r>
        <w:rPr>
          <w:rFonts w:ascii="Times New Roman" w:eastAsia="方正仿宋_GBK" w:hAnsi="Times New Roman" w:cs="Times New Roman"/>
          <w:sz w:val="32"/>
          <w:szCs w:val="32"/>
        </w:rPr>
        <w:t>；第三产业增加值</w:t>
      </w:r>
      <w:r>
        <w:rPr>
          <w:rFonts w:ascii="Times New Roman" w:eastAsia="方正仿宋_GBK" w:hAnsi="Times New Roman" w:cs="Times New Roman"/>
          <w:sz w:val="32"/>
          <w:szCs w:val="32"/>
        </w:rPr>
        <w:t>606.71</w:t>
      </w:r>
      <w:r>
        <w:rPr>
          <w:rFonts w:ascii="Times New Roman" w:eastAsia="方正仿宋_GBK" w:hAnsi="Times New Roman" w:cs="Times New Roman"/>
          <w:sz w:val="32"/>
          <w:szCs w:val="32"/>
        </w:rPr>
        <w:t>亿元，增长</w:t>
      </w:r>
      <w:r>
        <w:rPr>
          <w:rFonts w:ascii="Times New Roman" w:eastAsia="方正仿宋_GBK" w:hAnsi="Times New Roman" w:cs="Times New Roman"/>
          <w:sz w:val="32"/>
          <w:szCs w:val="32"/>
        </w:rPr>
        <w:t>3.3%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62296" w:rsidRDefault="00062296" w:rsidP="0006229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年，全年实现工业增加值</w:t>
      </w:r>
      <w:r>
        <w:rPr>
          <w:rFonts w:ascii="Times New Roman" w:eastAsia="方正仿宋_GBK" w:hAnsi="Times New Roman" w:cs="Times New Roman"/>
          <w:sz w:val="32"/>
          <w:szCs w:val="32"/>
        </w:rPr>
        <w:t>108.9</w:t>
      </w:r>
      <w:r>
        <w:rPr>
          <w:rFonts w:ascii="Times New Roman" w:eastAsia="方正仿宋_GBK" w:hAnsi="Times New Roman" w:cs="Times New Roman"/>
          <w:sz w:val="32"/>
          <w:szCs w:val="32"/>
        </w:rPr>
        <w:t>亿元，比上年增长</w:t>
      </w:r>
      <w:r>
        <w:rPr>
          <w:rFonts w:ascii="Times New Roman" w:eastAsia="方正仿宋_GBK" w:hAnsi="Times New Roman" w:cs="Times New Roman"/>
          <w:sz w:val="32"/>
          <w:szCs w:val="32"/>
        </w:rPr>
        <w:t>3.3%</w:t>
      </w:r>
      <w:r>
        <w:rPr>
          <w:rFonts w:ascii="Times New Roman" w:eastAsia="方正仿宋_GBK" w:hAnsi="Times New Roman" w:cs="Times New Roman"/>
          <w:sz w:val="32"/>
          <w:szCs w:val="32"/>
        </w:rPr>
        <w:t>；全区</w:t>
      </w:r>
      <w:r>
        <w:rPr>
          <w:rFonts w:ascii="Times New Roman" w:eastAsia="方正仿宋_GBK" w:hAnsi="Times New Roman" w:cs="Times New Roman"/>
          <w:sz w:val="32"/>
          <w:szCs w:val="32"/>
        </w:rPr>
        <w:t>147</w:t>
      </w:r>
      <w:r>
        <w:rPr>
          <w:rFonts w:ascii="Times New Roman" w:eastAsia="方正仿宋_GBK" w:hAnsi="Times New Roman" w:cs="Times New Roman"/>
          <w:sz w:val="32"/>
          <w:szCs w:val="32"/>
        </w:rPr>
        <w:t>户规模以上工业企业完成总产值</w:t>
      </w:r>
      <w:r>
        <w:rPr>
          <w:rFonts w:ascii="Times New Roman" w:eastAsia="方正仿宋_GBK" w:hAnsi="Times New Roman" w:cs="Times New Roman"/>
          <w:sz w:val="32"/>
          <w:szCs w:val="32"/>
        </w:rPr>
        <w:t>332.3</w:t>
      </w:r>
      <w:r>
        <w:rPr>
          <w:rFonts w:ascii="Times New Roman" w:eastAsia="方正仿宋_GBK" w:hAnsi="Times New Roman" w:cs="Times New Roman"/>
          <w:sz w:val="32"/>
          <w:szCs w:val="32"/>
        </w:rPr>
        <w:t>亿元，比上年增长</w:t>
      </w:r>
      <w:r>
        <w:rPr>
          <w:rFonts w:ascii="Times New Roman" w:eastAsia="方正仿宋_GBK" w:hAnsi="Times New Roman" w:cs="Times New Roman"/>
          <w:sz w:val="32"/>
          <w:szCs w:val="32"/>
        </w:rPr>
        <w:t>5.4%</w:t>
      </w:r>
      <w:r>
        <w:rPr>
          <w:rFonts w:ascii="Times New Roman" w:eastAsia="方正仿宋_GBK" w:hAnsi="Times New Roman" w:cs="Times New Roman"/>
          <w:sz w:val="32"/>
          <w:szCs w:val="32"/>
        </w:rPr>
        <w:t>。其中，经开区</w:t>
      </w:r>
      <w:r>
        <w:rPr>
          <w:rFonts w:ascii="Times New Roman" w:eastAsia="方正仿宋_GBK" w:hAnsi="Times New Roman" w:cs="Times New Roman"/>
          <w:sz w:val="32"/>
          <w:szCs w:val="32"/>
        </w:rPr>
        <w:t>73</w:t>
      </w:r>
      <w:r>
        <w:rPr>
          <w:rFonts w:ascii="Times New Roman" w:eastAsia="方正仿宋_GBK" w:hAnsi="Times New Roman" w:cs="Times New Roman"/>
          <w:sz w:val="32"/>
          <w:szCs w:val="32"/>
        </w:rPr>
        <w:t>户企业完成总产值</w:t>
      </w:r>
      <w:r>
        <w:rPr>
          <w:rFonts w:ascii="Times New Roman" w:eastAsia="方正仿宋_GBK" w:hAnsi="Times New Roman" w:cs="Times New Roman"/>
          <w:sz w:val="32"/>
          <w:szCs w:val="32"/>
        </w:rPr>
        <w:t>260.48</w:t>
      </w:r>
      <w:r>
        <w:rPr>
          <w:rFonts w:ascii="Times New Roman" w:eastAsia="方正仿宋_GBK" w:hAnsi="Times New Roman" w:cs="Times New Roman"/>
          <w:sz w:val="32"/>
          <w:szCs w:val="32"/>
        </w:rPr>
        <w:t>亿元，比上年增长</w:t>
      </w:r>
      <w:r>
        <w:rPr>
          <w:rFonts w:ascii="Times New Roman" w:eastAsia="方正仿宋_GBK" w:hAnsi="Times New Roman" w:cs="Times New Roman"/>
          <w:sz w:val="32"/>
          <w:szCs w:val="32"/>
        </w:rPr>
        <w:t>6.2%</w:t>
      </w:r>
      <w:r>
        <w:rPr>
          <w:rFonts w:ascii="Times New Roman" w:eastAsia="方正仿宋_GBK" w:hAnsi="Times New Roman" w:cs="Times New Roman"/>
          <w:sz w:val="32"/>
          <w:szCs w:val="32"/>
        </w:rPr>
        <w:t>；大中型企业总产值</w:t>
      </w:r>
      <w:r>
        <w:rPr>
          <w:rFonts w:ascii="Times New Roman" w:eastAsia="方正仿宋_GBK" w:hAnsi="Times New Roman" w:cs="Times New Roman"/>
          <w:sz w:val="32"/>
          <w:szCs w:val="32"/>
        </w:rPr>
        <w:t>173.84</w:t>
      </w:r>
      <w:r>
        <w:rPr>
          <w:rFonts w:ascii="Times New Roman" w:eastAsia="方正仿宋_GBK" w:hAnsi="Times New Roman" w:cs="Times New Roman"/>
          <w:sz w:val="32"/>
          <w:szCs w:val="32"/>
        </w:rPr>
        <w:t>亿元，比上年下降</w:t>
      </w:r>
      <w:r>
        <w:rPr>
          <w:rFonts w:ascii="Times New Roman" w:eastAsia="方正仿宋_GBK" w:hAnsi="Times New Roman" w:cs="Times New Roman"/>
          <w:sz w:val="32"/>
          <w:szCs w:val="32"/>
        </w:rPr>
        <w:t>4%</w:t>
      </w:r>
      <w:r>
        <w:rPr>
          <w:rFonts w:ascii="Times New Roman" w:eastAsia="方正仿宋_GBK" w:hAnsi="Times New Roman" w:cs="Times New Roman"/>
          <w:sz w:val="32"/>
          <w:szCs w:val="32"/>
        </w:rPr>
        <w:t>；国有控股企业</w:t>
      </w:r>
      <w:r>
        <w:rPr>
          <w:rFonts w:ascii="Times New Roman" w:eastAsia="方正仿宋_GBK" w:hAnsi="Times New Roman" w:cs="Times New Roman"/>
          <w:sz w:val="32"/>
          <w:szCs w:val="32"/>
        </w:rPr>
        <w:t>160.53</w:t>
      </w:r>
      <w:r>
        <w:rPr>
          <w:rFonts w:ascii="Times New Roman" w:eastAsia="方正仿宋_GBK" w:hAnsi="Times New Roman" w:cs="Times New Roman"/>
          <w:sz w:val="32"/>
          <w:szCs w:val="32"/>
        </w:rPr>
        <w:t>亿元，比上年增长</w:t>
      </w:r>
      <w:r>
        <w:rPr>
          <w:rFonts w:ascii="Times New Roman" w:eastAsia="方正仿宋_GBK" w:hAnsi="Times New Roman" w:cs="Times New Roman"/>
          <w:sz w:val="32"/>
          <w:szCs w:val="32"/>
        </w:rPr>
        <w:t>11.3%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62296" w:rsidRDefault="00062296" w:rsidP="0006229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目前，万州区已形成以智能装备、绿色照明、食品医药、新材料、汽车、新材料五大产业为主导的产业体系。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年，五大重点产业实现产值</w:t>
      </w:r>
      <w:r>
        <w:rPr>
          <w:rFonts w:ascii="Times New Roman" w:eastAsia="方正仿宋_GBK" w:hAnsi="Times New Roman" w:cs="Times New Roman"/>
          <w:sz w:val="32"/>
          <w:szCs w:val="32"/>
        </w:rPr>
        <w:t>234.4</w:t>
      </w:r>
      <w:r>
        <w:rPr>
          <w:rFonts w:ascii="Times New Roman" w:eastAsia="方正仿宋_GBK" w:hAnsi="Times New Roman" w:cs="Times New Roman"/>
          <w:sz w:val="32"/>
          <w:szCs w:val="32"/>
        </w:rPr>
        <w:t>亿元，占全区规上工业产值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70.5%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62296" w:rsidRDefault="00062296" w:rsidP="0006229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（一）绿色照明产业：主要有三雄极光、雷士照明、施耐德电工、大全泰来等重点骨干企业，现有规模工业企业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户，其中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亿级企业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户。拥有市级企业技术中心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个。三雄极光、雷士照明分别是全国照明行业前五强。主要产品为照明灯具（</w:t>
      </w:r>
      <w:r>
        <w:rPr>
          <w:rFonts w:ascii="Times New Roman" w:eastAsia="方正仿宋_GBK" w:hAnsi="Times New Roman" w:cs="Times New Roman"/>
          <w:sz w:val="32"/>
          <w:szCs w:val="32"/>
        </w:rPr>
        <w:t>LED</w:t>
      </w:r>
      <w:r>
        <w:rPr>
          <w:rFonts w:ascii="Times New Roman" w:eastAsia="方正仿宋_GBK" w:hAnsi="Times New Roman" w:cs="Times New Roman"/>
          <w:sz w:val="32"/>
          <w:szCs w:val="32"/>
        </w:rPr>
        <w:t>支架、筒灯、射灯灯盘）、开关</w:t>
      </w:r>
      <w:r>
        <w:rPr>
          <w:rFonts w:ascii="Times New Roman" w:eastAsia="方正仿宋_GBK" w:hAnsi="Times New Roman" w:cs="Times New Roman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sz w:val="32"/>
          <w:szCs w:val="32"/>
        </w:rPr>
        <w:t>插座、高低压开关柜等。目前已具备一定的产业基础和产业配套能力，主要工序都能实现本地协作和配套。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年绿色照明产业实现产值</w:t>
      </w:r>
      <w:r>
        <w:rPr>
          <w:rFonts w:ascii="Times New Roman" w:eastAsia="方正仿宋_GBK" w:hAnsi="Times New Roman" w:cs="Times New Roman"/>
          <w:sz w:val="32"/>
          <w:szCs w:val="32"/>
        </w:rPr>
        <w:t>23.8</w:t>
      </w:r>
      <w:r>
        <w:rPr>
          <w:rFonts w:ascii="Times New Roman" w:eastAsia="方正仿宋_GBK" w:hAnsi="Times New Roman" w:cs="Times New Roman"/>
          <w:sz w:val="32"/>
          <w:szCs w:val="32"/>
        </w:rPr>
        <w:t>亿元，占全区规上工业产值的</w:t>
      </w:r>
      <w:r>
        <w:rPr>
          <w:rFonts w:ascii="Times New Roman" w:eastAsia="方正仿宋_GBK" w:hAnsi="Times New Roman" w:cs="Times New Roman"/>
          <w:sz w:val="32"/>
          <w:szCs w:val="32"/>
        </w:rPr>
        <w:t>7.2%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62296" w:rsidRDefault="00062296" w:rsidP="0006229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（二）智能装备产业：主要有江东机械、三铭重工等重点骨干企业（不含军工企业），现有规模企业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户，拥有市级企业技术中心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个，市级技术创新示范企业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家。主要产品为液压机、成型机床、矿山机械。其中江东机械是国内规模较大、综合实力较强的专业成形技术综合提供商之一。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年智能装备产业实现产值</w:t>
      </w:r>
      <w:r>
        <w:rPr>
          <w:rFonts w:ascii="Times New Roman" w:eastAsia="方正仿宋_GBK" w:hAnsi="Times New Roman" w:cs="Times New Roman"/>
          <w:sz w:val="32"/>
          <w:szCs w:val="32"/>
        </w:rPr>
        <w:t>9.5</w:t>
      </w:r>
      <w:r>
        <w:rPr>
          <w:rFonts w:ascii="Times New Roman" w:eastAsia="方正仿宋_GBK" w:hAnsi="Times New Roman" w:cs="Times New Roman"/>
          <w:sz w:val="32"/>
          <w:szCs w:val="32"/>
        </w:rPr>
        <w:t>亿元，占全区规上工业产值</w:t>
      </w:r>
      <w:r>
        <w:rPr>
          <w:rFonts w:ascii="Times New Roman" w:eastAsia="方正仿宋_GBK" w:hAnsi="Times New Roman" w:cs="Times New Roman"/>
          <w:sz w:val="32"/>
          <w:szCs w:val="32"/>
        </w:rPr>
        <w:t>2.9%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62296" w:rsidRDefault="00062296" w:rsidP="0006229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（三）食品医药产业：主要有鱼泉榨菜、树上鲜、飞亚实业、诗仙太白、迪康长江、神宇药业等重点骨干企业，现有规模工业企业</w:t>
      </w:r>
      <w:r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>户，其中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亿级企业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户。拥有市级企业技术中心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个，市级技术创新示范企业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家。主要产品为味精、鸡精、原盐（食盐）、花椒油、榨菜、白酒、啤酒、中成药、仿制药、注射剂、多酶片等。迪康长江卡络磺钠氯化钠注射液国内市场占有率排名前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位，树上鲜花椒油、鱼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泉榨菜品牌在全国具有很高的知名度和美誉度。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年食品医药产业实现产值</w:t>
      </w:r>
      <w:r>
        <w:rPr>
          <w:rFonts w:ascii="Times New Roman" w:eastAsia="方正仿宋_GBK" w:hAnsi="Times New Roman" w:cs="Times New Roman"/>
          <w:sz w:val="32"/>
          <w:szCs w:val="32"/>
        </w:rPr>
        <w:t>33.4</w:t>
      </w:r>
      <w:r>
        <w:rPr>
          <w:rFonts w:ascii="Times New Roman" w:eastAsia="方正仿宋_GBK" w:hAnsi="Times New Roman" w:cs="Times New Roman"/>
          <w:sz w:val="32"/>
          <w:szCs w:val="32"/>
        </w:rPr>
        <w:t>亿元，占全区规上工业产值</w:t>
      </w:r>
      <w:r>
        <w:rPr>
          <w:rFonts w:ascii="Times New Roman" w:eastAsia="方正仿宋_GBK" w:hAnsi="Times New Roman" w:cs="Times New Roman"/>
          <w:sz w:val="32"/>
          <w:szCs w:val="32"/>
        </w:rPr>
        <w:t>10.1%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62296" w:rsidRDefault="00062296" w:rsidP="0006229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（四）新材料产业：主要有金龙集团、西南水泥、威科赛乐等重点骨干企业，现有规模工业企业</w:t>
      </w:r>
      <w:r>
        <w:rPr>
          <w:rFonts w:ascii="Times New Roman" w:eastAsia="方正仿宋_GBK" w:hAnsi="Times New Roman" w:cs="Times New Roman"/>
          <w:sz w:val="32"/>
          <w:szCs w:val="32"/>
        </w:rPr>
        <w:t>39</w:t>
      </w:r>
      <w:r>
        <w:rPr>
          <w:rFonts w:ascii="Times New Roman" w:eastAsia="方正仿宋_GBK" w:hAnsi="Times New Roman" w:cs="Times New Roman"/>
          <w:sz w:val="32"/>
          <w:szCs w:val="32"/>
        </w:rPr>
        <w:t>户，其中</w:t>
      </w:r>
      <w:r>
        <w:rPr>
          <w:rFonts w:ascii="Times New Roman" w:eastAsia="方正仿宋_GBK" w:hAnsi="Times New Roman" w:cs="Times New Roman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sz w:val="32"/>
          <w:szCs w:val="32"/>
        </w:rPr>
        <w:t>亿级企业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户。主要产品为精密铜管、水泥、半导体衬底材料等。金龙铜管是全球规模最大、最先进的铸轧法铜管生产企业，生产工艺和产品为国际领先水平。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年新材料产业实现产值</w:t>
      </w:r>
      <w:r>
        <w:rPr>
          <w:rFonts w:ascii="Times New Roman" w:eastAsia="方正仿宋_GBK" w:hAnsi="Times New Roman" w:cs="Times New Roman"/>
          <w:sz w:val="32"/>
          <w:szCs w:val="32"/>
        </w:rPr>
        <w:t>101.2</w:t>
      </w:r>
      <w:r>
        <w:rPr>
          <w:rFonts w:ascii="Times New Roman" w:eastAsia="方正仿宋_GBK" w:hAnsi="Times New Roman" w:cs="Times New Roman"/>
          <w:sz w:val="32"/>
          <w:szCs w:val="32"/>
        </w:rPr>
        <w:t>亿元，占全区规上工业产值</w:t>
      </w:r>
      <w:r>
        <w:rPr>
          <w:rFonts w:ascii="Times New Roman" w:eastAsia="方正仿宋_GBK" w:hAnsi="Times New Roman" w:cs="Times New Roman"/>
          <w:sz w:val="32"/>
          <w:szCs w:val="32"/>
        </w:rPr>
        <w:t>30.5%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62296" w:rsidRDefault="00062296" w:rsidP="0006229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（五）汽车产业：主要有长安跨越、千能机械等重点骨干企业，现有规模工业企业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户，其中</w:t>
      </w:r>
      <w:r>
        <w:rPr>
          <w:rFonts w:ascii="Times New Roman" w:eastAsia="方正仿宋_GBK" w:hAnsi="Times New Roman" w:cs="Times New Roman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sz w:val="32"/>
          <w:szCs w:val="32"/>
        </w:rPr>
        <w:t>亿级企业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户。拥有市级企业技术中心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个。主要产品为专用车、农用车、货箱总成汽车零配件等。其中长安跨越专用车同行业排名前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位。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年汽车产业实现产值</w:t>
      </w:r>
      <w:r>
        <w:rPr>
          <w:rFonts w:ascii="Times New Roman" w:eastAsia="方正仿宋_GBK" w:hAnsi="Times New Roman" w:cs="Times New Roman"/>
          <w:sz w:val="32"/>
          <w:szCs w:val="32"/>
        </w:rPr>
        <w:t>66.4</w:t>
      </w:r>
      <w:r>
        <w:rPr>
          <w:rFonts w:ascii="Times New Roman" w:eastAsia="方正仿宋_GBK" w:hAnsi="Times New Roman" w:cs="Times New Roman"/>
          <w:sz w:val="32"/>
          <w:szCs w:val="32"/>
        </w:rPr>
        <w:t>亿元，占全区规上工业产值</w:t>
      </w:r>
      <w:r>
        <w:rPr>
          <w:rFonts w:ascii="Times New Roman" w:eastAsia="方正仿宋_GBK" w:hAnsi="Times New Roman" w:cs="Times New Roman"/>
          <w:sz w:val="32"/>
          <w:szCs w:val="32"/>
        </w:rPr>
        <w:t>20.0%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62296" w:rsidRDefault="00062296" w:rsidP="00062296">
      <w:pPr>
        <w:numPr>
          <w:ilvl w:val="0"/>
          <w:numId w:val="1"/>
        </w:numPr>
        <w:spacing w:line="594" w:lineRule="exact"/>
        <w:ind w:firstLineChars="200" w:firstLine="640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企业科技资源需求情况</w:t>
      </w:r>
    </w:p>
    <w:p w:rsidR="00062296" w:rsidRDefault="00062296" w:rsidP="00062296">
      <w:pPr>
        <w:spacing w:line="594" w:lineRule="exact"/>
        <w:ind w:left="465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重庆江东机械有限责任公司</w:t>
      </w:r>
    </w:p>
    <w:p w:rsidR="00062296" w:rsidRDefault="00062296" w:rsidP="00062296">
      <w:pPr>
        <w:spacing w:line="594" w:lineRule="exact"/>
        <w:ind w:left="465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中国船舶重工集团衡远科技有限公司</w:t>
      </w:r>
    </w:p>
    <w:p w:rsidR="00062296" w:rsidRDefault="00062296" w:rsidP="00062296">
      <w:pPr>
        <w:spacing w:line="594" w:lineRule="exact"/>
        <w:ind w:left="465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中国船舶重工集团长江科技有限公司</w:t>
      </w:r>
    </w:p>
    <w:p w:rsidR="00062296" w:rsidRDefault="00062296" w:rsidP="00062296">
      <w:pPr>
        <w:spacing w:line="594" w:lineRule="exact"/>
        <w:ind w:left="465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重庆华歌生物化学有限公司</w:t>
      </w:r>
    </w:p>
    <w:p w:rsidR="00062296" w:rsidRDefault="00062296" w:rsidP="00062296">
      <w:pPr>
        <w:spacing w:line="594" w:lineRule="exact"/>
        <w:ind w:left="465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重庆市万植巨丰生态肥业有限公司</w:t>
      </w:r>
    </w:p>
    <w:p w:rsidR="00062296" w:rsidRDefault="00062296" w:rsidP="00062296">
      <w:pPr>
        <w:spacing w:line="594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br w:type="page"/>
      </w:r>
    </w:p>
    <w:p w:rsidR="0098369A" w:rsidRDefault="0098369A">
      <w:bookmarkStart w:id="0" w:name="_GoBack"/>
      <w:bookmarkEnd w:id="0"/>
    </w:p>
    <w:sectPr w:rsidR="0098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BF5E67"/>
    <w:multiLevelType w:val="singleLevel"/>
    <w:tmpl w:val="BDBF5E67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96"/>
    <w:rsid w:val="00062296"/>
    <w:rsid w:val="00062A85"/>
    <w:rsid w:val="0098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2296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6229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62296"/>
    <w:rPr>
      <w:rFonts w:ascii="Calibri" w:eastAsia="宋体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2296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6229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62296"/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2021-06-01T08:49:00Z</dcterms:created>
  <dcterms:modified xsi:type="dcterms:W3CDTF">2021-06-01T08:50:00Z</dcterms:modified>
</cp:coreProperties>
</file>