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C3" w:rsidRPr="00074541" w:rsidRDefault="005930C3" w:rsidP="005930C3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 w:rsidRPr="00074541"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5930C3" w:rsidRPr="00074541" w:rsidRDefault="005930C3" w:rsidP="005930C3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5930C3" w:rsidRPr="00074541" w:rsidRDefault="005930C3" w:rsidP="005930C3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r w:rsidRPr="00074541">
        <w:rPr>
          <w:rFonts w:ascii="方正小标宋_GBK" w:eastAsia="方正小标宋_GBK" w:hAnsi="方正小标宋_GBK" w:cs="方正小标宋_GBK" w:hint="eastAsia"/>
          <w:sz w:val="44"/>
          <w:szCs w:val="44"/>
        </w:rPr>
        <w:t>2021年度巴南区科研项目申报指南</w:t>
      </w:r>
    </w:p>
    <w:bookmarkEnd w:id="0"/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2021年度巴南区科研项目坚持创新驱动，服务转型升级；坚持市场导向，突出企业主体；坚持优化环境，促进创新创业的原则，聚焦我区产业结构调整、转型升级的关键问题，致力于提升我区产业核心竞争力和企业自主创新能力。本年度主要实施自主创新科技专项、科技成果转化及产业化专项、社会事业与民生保障科技创新专项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黑体" w:eastAsia="黑体" w:hAnsi="方正仿宋_GBK" w:cs="方正仿宋_GBK" w:hint="eastAsia"/>
          <w:sz w:val="32"/>
          <w:szCs w:val="32"/>
        </w:rPr>
      </w:pPr>
      <w:r w:rsidRPr="00074541">
        <w:rPr>
          <w:rFonts w:ascii="黑体" w:eastAsia="黑体" w:hAnsi="方正仿宋_GBK" w:cs="方正仿宋_GBK" w:hint="eastAsia"/>
          <w:sz w:val="32"/>
          <w:szCs w:val="32"/>
        </w:rPr>
        <w:t>一、自主创新科技专项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sz w:val="32"/>
          <w:szCs w:val="32"/>
        </w:rPr>
        <w:t>（一）项目定位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本专项围绕我区“一区五城”、“五大千亿级”产业集群，支持我区重点发展的生物医药产业、大数据及信息通信技术产业、高端装备制造、汽车摩托车产业、节能环保、军民融合产业等相关领域的前沿关键科学技术问题，支持科研人员开展原始创新和自由探索。</w:t>
      </w:r>
    </w:p>
    <w:p w:rsidR="005930C3" w:rsidRPr="00074541" w:rsidRDefault="005930C3" w:rsidP="005930C3">
      <w:pPr>
        <w:numPr>
          <w:ilvl w:val="0"/>
          <w:numId w:val="1"/>
        </w:numPr>
        <w:spacing w:line="560" w:lineRule="exact"/>
        <w:ind w:firstLineChars="200" w:firstLine="640"/>
        <w:rPr>
          <w:rFonts w:ascii="方正楷体_GBK" w:eastAsia="方正楷体_GBK" w:hAnsi="方正楷体_GBK" w:cs="方正楷体_GBK" w:hint="eastAsia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sz w:val="32"/>
          <w:szCs w:val="32"/>
        </w:rPr>
        <w:t>项目类别和支持强度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 xml:space="preserve"> 分为一般项目、重点项目，资助强度分别为每项10万元、20万元。拟支持数量为一般项目15项，重点项目5项。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sz w:val="32"/>
          <w:szCs w:val="32"/>
        </w:rPr>
        <w:t>（三）申报主体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kern w:val="36"/>
          <w:sz w:val="32"/>
          <w:szCs w:val="32"/>
        </w:rPr>
        <w:t>应为独立法人资格的科技型企业。申报重点项目</w:t>
      </w:r>
      <w:r w:rsidRPr="0007454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的，在上一年度研发经费支出需占生产总值比重达到3%以上。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kern w:val="36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kern w:val="36"/>
          <w:sz w:val="32"/>
          <w:szCs w:val="32"/>
        </w:rPr>
        <w:t>（四）实施周期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实施周期一般不超过2年。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楷体_GBK" w:eastAsia="方正楷体_GBK" w:hAnsi="方正楷体_GBK" w:cs="方正楷体_GBK" w:hint="eastAsia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sz w:val="32"/>
          <w:szCs w:val="32"/>
        </w:rPr>
        <w:t>（五）支持方向</w:t>
      </w:r>
    </w:p>
    <w:p w:rsidR="005930C3" w:rsidRPr="00074541" w:rsidRDefault="005930C3" w:rsidP="005930C3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一是现代生物医药。支持新型基因工程药物的开发、传统小分子药物的工艺改造、生物分离新技术和生物过程集成化技术的应用、新型疫苗的开发和研制、生物诊断试剂的研制、核酸类药物的研制等开展产业化过程中的关键技术攻关，应用于新药开发和生物药物生产过程中。</w:t>
      </w:r>
    </w:p>
    <w:p w:rsidR="005930C3" w:rsidRPr="00074541" w:rsidRDefault="005930C3" w:rsidP="005930C3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二是高端装备制造。支持高性能数控装备、工业机器人和智能服务机器人、先进交通装备、煤矿装备、工程装备、高端基础部件等的研发，支持智能制造重点标准的研制。</w:t>
      </w:r>
    </w:p>
    <w:p w:rsidR="005930C3" w:rsidRPr="00074541" w:rsidRDefault="005930C3" w:rsidP="005930C3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三是大数据及新一代信息技术。支持大数据与云计算、物联网、智能终端、智慧城市、智慧园区、智慧交通等新一代信息技术，“AI+”、“互联网+”、北斗导航、卫星通信、集成电路、高端软件等领域产品的产业化开发及应用。</w:t>
      </w:r>
    </w:p>
    <w:p w:rsidR="005930C3" w:rsidRPr="00074541" w:rsidRDefault="005930C3" w:rsidP="005930C3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四是汽车摩托车产业技术。支持新能源汽车整车和摩托车、电池键设备、发电机组与关键部件、储能技术与装备等技术产品的研究开发。支持对发动机动力性、燃油经济性、质量、寿命、排放等关键技术的研发和创新。</w:t>
      </w:r>
    </w:p>
    <w:p w:rsidR="005930C3" w:rsidRPr="00074541" w:rsidRDefault="005930C3" w:rsidP="005930C3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五是节能环保。支持大气、水污染监测与防治仪器设备、高能耗行业新工艺及节能技术、建筑节能技术和绿色建材、智能电网的高效输配电技术、通用机电产品的节能技术等研究开发。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六是军民融合产业。支持开展军民两用技术联合攻关，加快推进军民融合产业发展，促进军民技术双向转移转化应</w:t>
      </w: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用，支持技术含量及技术成熟度高、市场应用前景良好、知识产权明晰的军民两用技术的产业化项目。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黑体" w:eastAsia="黑体" w:hAnsi="方正仿宋_GBK" w:cs="方正仿宋_GBK" w:hint="eastAsia"/>
          <w:sz w:val="32"/>
          <w:szCs w:val="32"/>
        </w:rPr>
      </w:pPr>
      <w:r w:rsidRPr="00074541">
        <w:rPr>
          <w:rFonts w:ascii="黑体" w:eastAsia="黑体" w:hAnsi="方正仿宋_GBK" w:cs="方正仿宋_GBK" w:hint="eastAsia"/>
          <w:sz w:val="32"/>
          <w:szCs w:val="32"/>
        </w:rPr>
        <w:t>二、科技成果转化及产业化专项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sz w:val="32"/>
          <w:szCs w:val="32"/>
        </w:rPr>
        <w:t>（一）项目定位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楷体_GBK" w:eastAsia="方正楷体_GBK" w:hAnsi="方正楷体_GBK" w:cs="方正楷体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本专项主要支持高等院校和科研机构，与我区企业开展技术攻关、产品研发等产学研合作，通过技术开发、产品研发等项目合作方式促进科研成果在区落地。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楷体_GBK" w:eastAsia="方正楷体_GBK" w:hAnsi="方正楷体_GBK" w:cs="方正楷体_GBK" w:hint="eastAsia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sz w:val="32"/>
          <w:szCs w:val="32"/>
        </w:rPr>
        <w:t>（二）项目类别和支持强度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类别为一般项目，资助强度分别为每项10万元。拟支持数量为15项。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sz w:val="32"/>
          <w:szCs w:val="32"/>
        </w:rPr>
        <w:t>（三）申报主体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kern w:val="36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kern w:val="36"/>
          <w:sz w:val="32"/>
          <w:szCs w:val="32"/>
        </w:rPr>
        <w:t>应为在区高等院校、科研机构。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kern w:val="36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kern w:val="36"/>
          <w:sz w:val="32"/>
          <w:szCs w:val="32"/>
        </w:rPr>
        <w:t>（四）实施周期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实施周期一般不超过2年。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楷体_GBK" w:eastAsia="方正楷体_GBK" w:hAnsi="方正楷体_GBK" w:cs="方正楷体_GBK" w:hint="eastAsia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sz w:val="32"/>
          <w:szCs w:val="32"/>
        </w:rPr>
        <w:t>（五）支持方向</w:t>
      </w:r>
    </w:p>
    <w:p w:rsidR="005930C3" w:rsidRPr="00074541" w:rsidRDefault="005930C3" w:rsidP="005930C3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支持由高等院校或科研机构牵头实施，推动科研成果和技术在企业推广应用，加快科技成果转化落地和产业化。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黑体" w:eastAsia="黑体" w:hAnsi="方正仿宋_GBK" w:cs="方正仿宋_GBK" w:hint="eastAsia"/>
          <w:sz w:val="32"/>
          <w:szCs w:val="32"/>
        </w:rPr>
      </w:pPr>
      <w:r w:rsidRPr="00074541">
        <w:rPr>
          <w:rFonts w:ascii="黑体" w:eastAsia="黑体" w:hAnsi="方正仿宋_GBK" w:cs="方正仿宋_GBK" w:hint="eastAsia"/>
          <w:sz w:val="32"/>
          <w:szCs w:val="32"/>
        </w:rPr>
        <w:t>三、社会事业与民生保障科技创新专项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sz w:val="32"/>
          <w:szCs w:val="32"/>
        </w:rPr>
        <w:t>（一）项目定位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本专项旨在发挥科技创新在乡村振兴、卫生健康、教育文化、生态环保、公共安全等社会公共服务领域的支撑引领作用，不断提高全区社会公共服务领域的科技创新水平。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楷体_GBK" w:eastAsia="方正楷体_GBK" w:hAnsi="方正楷体_GBK" w:cs="方正楷体_GBK" w:hint="eastAsia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sz w:val="32"/>
          <w:szCs w:val="32"/>
        </w:rPr>
        <w:t>（二）项目类别和支持强度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类别为小额项目，资助强度为每项5万元。教育、卫生、</w:t>
      </w: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农业拟支持数量不超过45项，其它不超过5项。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sz w:val="32"/>
          <w:szCs w:val="32"/>
        </w:rPr>
        <w:t>（三）申报主体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申报主体主要包括科学研究和技术服务类非企业单位、行政事业单位、公益团体及农业类科技型企业等。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kern w:val="36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kern w:val="36"/>
          <w:sz w:val="32"/>
          <w:szCs w:val="32"/>
        </w:rPr>
        <w:t>（四）实施周期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实施周期一般不超过2年。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楷体_GBK" w:eastAsia="方正楷体_GBK" w:hAnsi="方正楷体_GBK" w:cs="方正楷体_GBK" w:hint="eastAsia"/>
          <w:sz w:val="32"/>
          <w:szCs w:val="32"/>
        </w:rPr>
      </w:pPr>
      <w:r w:rsidRPr="00074541">
        <w:rPr>
          <w:rFonts w:ascii="方正楷体_GBK" w:eastAsia="方正楷体_GBK" w:hAnsi="方正楷体_GBK" w:cs="方正楷体_GBK" w:hint="eastAsia"/>
          <w:sz w:val="32"/>
          <w:szCs w:val="32"/>
        </w:rPr>
        <w:t>（五）支持方向</w:t>
      </w:r>
    </w:p>
    <w:p w:rsidR="005930C3" w:rsidRPr="00074541" w:rsidRDefault="005930C3" w:rsidP="005930C3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一是医疗卫生健康领域。围绕职业病、地方病、人体寄生虫及艾滋病防治关键技术研究，以及重大传染病防治、妇女儿童健康、老年人健康、及慢性病患者康复等公共卫生重点领域，针对疾病的筛查、预测预警、早期干预技术和疾病治疗等关键环节，开展相关关键技术应用研究。支持中医药防治重大、难治性疾病和新发、突发传染病等临床研究。支持城乡社区优质医疗资源共享系统的开发和应用，乡镇和社区卫生服务机构科技综合示范，安全、有效、低成本的基层医疗适宜技术研究。支持重大疾病诊疗、突发急性传染病防治、心理疾病诊疗、预防接种等基础研究。支持妇科、儿科、老年病、长期护理等基本健康诊疗研究。支持慢性病防治研究。支持远程医疗、“互联网+”家庭医生的新模式研究。支持中医药防治重大、难治性疾病和新发、突发传染病等临床研究。支持突发公共卫生事件检测、诊断、预防、治疗的技术方法研究。</w:t>
      </w:r>
    </w:p>
    <w:p w:rsidR="005930C3" w:rsidRPr="00074541" w:rsidRDefault="005930C3" w:rsidP="005930C3">
      <w:pPr>
        <w:adjustRightInd w:val="0"/>
        <w:snapToGrid w:val="0"/>
        <w:spacing w:line="560" w:lineRule="exact"/>
        <w:ind w:firstLine="60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二是教育文化领域。支持学校探索特色课程、特色教育、国际合作教育、“互联网+”课堂等新型教学模式研究。支持</w:t>
      </w: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中小学生科技创新能力培养研究。支持群众性体育健身方法研究和推广。支持特色文化资源开发利用研究。支持文化遗产和文物保护研究。</w:t>
      </w:r>
    </w:p>
    <w:p w:rsidR="005930C3" w:rsidRPr="00074541" w:rsidRDefault="005930C3" w:rsidP="005930C3">
      <w:pPr>
        <w:autoSpaceDN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三是现代农业和乡村振兴。支持农业农村信息化和物联网技术的研究开发。支持优良新品种等农业生物育种技术应用研究。支持绿色生态综合种养、清洁健康养殖先进实用技术研究推广。支持中药种植关键技术研究和示范。支持柑橘、桃李、柚橙等特色水果高效产业技术研究示范。支持现代农业设施、农机装备、绿色灌溉等技术集成示范。支持精准平衡施肥、缓释肥施用、病虫害防治、绿色防控等技术研究和推广。支持推广畜沼果（菜）生态循环农业、电子商务进农村等新模式。支持数字农业、智慧农业、精准农业、乡村旅游等发展模式创新。支持农产品精深加工和冷链物流技术应用研究。支持精准扶贫农业共性技术引进和推广示范。支持重大动植物疫病防控研究。</w:t>
      </w:r>
    </w:p>
    <w:p w:rsidR="005930C3" w:rsidRPr="00074541" w:rsidRDefault="005930C3" w:rsidP="005930C3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四是生态环境保护。支持废弃农膜回收处理技术研究和应用。支持先进适用的节水、治污、修复等技术在水污染治理、“海绵城市”、再生水、雨洪水等水生态体系建设领域的应用。支持城市污水处理与回用、雨洪利用、小区中水处理等技术的研究与示范。支持大气污染防治、节能降耗、控污减排、资源综合利用等关键技术研究。支持生态环境治理监测、修复等研究。</w:t>
      </w:r>
    </w:p>
    <w:p w:rsidR="005930C3" w:rsidRPr="00074541" w:rsidRDefault="005930C3" w:rsidP="005930C3">
      <w:pPr>
        <w:adjustRightInd w:val="0"/>
        <w:snapToGrid w:val="0"/>
        <w:spacing w:line="560" w:lineRule="exact"/>
        <w:ind w:firstLine="60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t>五是防灾减灾、公共安全、城市管理。支持开展科技强警、食品安全、城市管理、重大灾害监测及应急救援、安全</w:t>
      </w:r>
      <w:r w:rsidRPr="00074541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生产与劳动保护等民生领域关键技术攻关。支持危险化学品、道路交通、防灾减灾、食品卫生等领域安全技术研究及设施设备研发。支持食品药品控制、检测、跟踪、溯源和应急处置技术研究与应用。</w:t>
      </w:r>
    </w:p>
    <w:p w:rsidR="005930C3" w:rsidRPr="00074541" w:rsidRDefault="005930C3" w:rsidP="005930C3">
      <w:pPr>
        <w:adjustRightInd w:val="0"/>
        <w:snapToGrid w:val="0"/>
        <w:spacing w:line="600" w:lineRule="exact"/>
        <w:ind w:firstLine="6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434276" w:rsidRDefault="00434276" w:rsidP="005930C3"/>
    <w:sectPr w:rsidR="0043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5D6B19"/>
    <w:multiLevelType w:val="singleLevel"/>
    <w:tmpl w:val="B35D6B19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C3"/>
    <w:rsid w:val="00434276"/>
    <w:rsid w:val="005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</dc:creator>
  <cp:lastModifiedBy>CMJ</cp:lastModifiedBy>
  <cp:revision>1</cp:revision>
  <dcterms:created xsi:type="dcterms:W3CDTF">2021-03-24T07:28:00Z</dcterms:created>
  <dcterms:modified xsi:type="dcterms:W3CDTF">2021-03-24T07:29:00Z</dcterms:modified>
</cp:coreProperties>
</file>