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微软雅黑" w:eastAsia="方正黑体_GBK"/>
          <w:sz w:val="32"/>
          <w:szCs w:val="32"/>
        </w:rPr>
      </w:pPr>
      <w:r>
        <w:rPr>
          <w:rFonts w:hint="eastAsia" w:ascii="方正黑体_GBK" w:hAnsi="微软雅黑" w:eastAsia="方正黑体_GBK"/>
          <w:sz w:val="32"/>
          <w:szCs w:val="32"/>
        </w:rPr>
        <w:t>附件</w:t>
      </w:r>
    </w:p>
    <w:p>
      <w:pPr>
        <w:ind w:firstLine="720"/>
        <w:jc w:val="center"/>
        <w:rPr>
          <w:rFonts w:ascii="Times New Roman" w:hAnsi="Times New Roman" w:eastAsia="方正小标宋_GBK"/>
          <w:sz w:val="36"/>
          <w:szCs w:val="36"/>
        </w:rPr>
      </w:pPr>
      <w:r>
        <w:rPr>
          <w:rFonts w:ascii="Times New Roman" w:hAnsi="Times New Roman" w:eastAsia="方正小标宋_GBK"/>
          <w:sz w:val="36"/>
          <w:szCs w:val="36"/>
        </w:rPr>
        <w:t>重庆工程学院</w:t>
      </w:r>
    </w:p>
    <w:p>
      <w:pPr>
        <w:ind w:firstLine="720"/>
        <w:jc w:val="center"/>
        <w:rPr>
          <w:rFonts w:ascii="Times New Roman" w:hAnsi="Times New Roman" w:eastAsia="方正小标宋_GBK"/>
          <w:sz w:val="36"/>
          <w:szCs w:val="36"/>
        </w:rPr>
      </w:pPr>
      <w:bookmarkStart w:id="0" w:name="_GoBack"/>
      <w:r>
        <w:rPr>
          <w:rFonts w:ascii="Times New Roman" w:hAnsi="Times New Roman" w:eastAsia="方正小标宋_GBK"/>
          <w:sz w:val="36"/>
          <w:szCs w:val="36"/>
        </w:rPr>
        <w:t>参与成渝地区双城经济圈教育协同发展工作任务推进表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694"/>
        <w:gridCol w:w="2409"/>
        <w:gridCol w:w="2835"/>
        <w:gridCol w:w="1379"/>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工作内容</w:t>
            </w:r>
          </w:p>
        </w:tc>
        <w:tc>
          <w:tcPr>
            <w:tcW w:w="2694"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2020年</w:t>
            </w:r>
          </w:p>
        </w:tc>
        <w:tc>
          <w:tcPr>
            <w:tcW w:w="2409"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2021年</w:t>
            </w:r>
          </w:p>
        </w:tc>
        <w:tc>
          <w:tcPr>
            <w:tcW w:w="2835"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2022年</w:t>
            </w:r>
          </w:p>
        </w:tc>
        <w:tc>
          <w:tcPr>
            <w:tcW w:w="1379"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主责单位</w:t>
            </w:r>
          </w:p>
        </w:tc>
        <w:tc>
          <w:tcPr>
            <w:tcW w:w="1121" w:type="dxa"/>
            <w:shd w:val="clear" w:color="auto" w:fill="auto"/>
            <w:noWrap w:val="0"/>
            <w:vAlign w:val="center"/>
          </w:tcPr>
          <w:p>
            <w:pPr>
              <w:spacing w:line="320" w:lineRule="exact"/>
              <w:jc w:val="center"/>
              <w:rPr>
                <w:rFonts w:ascii="宋体" w:hAnsi="宋体"/>
                <w:b/>
                <w:sz w:val="24"/>
                <w:szCs w:val="24"/>
              </w:rPr>
            </w:pPr>
            <w:r>
              <w:rPr>
                <w:rFonts w:ascii="宋体" w:hAnsi="宋体"/>
                <w:b/>
                <w:sz w:val="24"/>
                <w:szCs w:val="24"/>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3510" w:type="dxa"/>
            <w:shd w:val="clear" w:color="auto" w:fill="auto"/>
            <w:noWrap w:val="0"/>
            <w:vAlign w:val="center"/>
          </w:tcPr>
          <w:p>
            <w:pPr>
              <w:spacing w:line="320" w:lineRule="exact"/>
              <w:rPr>
                <w:rFonts w:ascii="宋体" w:hAnsi="宋体"/>
                <w:sz w:val="24"/>
                <w:szCs w:val="24"/>
              </w:rPr>
            </w:pPr>
            <w:r>
              <w:rPr>
                <w:rFonts w:hint="eastAsia" w:ascii="宋体" w:hAnsi="宋体"/>
                <w:sz w:val="24"/>
                <w:szCs w:val="24"/>
              </w:rPr>
              <w:t>1.</w:t>
            </w:r>
            <w:r>
              <w:rPr>
                <w:rFonts w:ascii="宋体" w:hAnsi="宋体"/>
                <w:sz w:val="24"/>
                <w:szCs w:val="24"/>
              </w:rPr>
              <w:t>总体牵头协调组织学校参与成渝地区双城经济圈教育协同发展工作；</w:t>
            </w:r>
          </w:p>
          <w:p>
            <w:pPr>
              <w:spacing w:line="320" w:lineRule="exact"/>
              <w:rPr>
                <w:rFonts w:ascii="宋体" w:hAnsi="宋体"/>
                <w:sz w:val="24"/>
                <w:szCs w:val="24"/>
              </w:rPr>
            </w:pPr>
            <w:r>
              <w:rPr>
                <w:rFonts w:ascii="宋体" w:hAnsi="宋体"/>
                <w:sz w:val="24"/>
                <w:szCs w:val="24"/>
              </w:rPr>
              <w:t>2.负责参与科技创新中心与西部（重庆）科学城建设的具体工作；</w:t>
            </w:r>
          </w:p>
          <w:p>
            <w:pPr>
              <w:spacing w:line="320" w:lineRule="exact"/>
              <w:rPr>
                <w:rFonts w:ascii="宋体" w:hAnsi="宋体"/>
                <w:sz w:val="24"/>
                <w:szCs w:val="24"/>
              </w:rPr>
            </w:pPr>
            <w:r>
              <w:rPr>
                <w:rFonts w:ascii="宋体" w:hAnsi="宋体"/>
                <w:sz w:val="24"/>
                <w:szCs w:val="24"/>
              </w:rPr>
              <w:t>3.负责参与成渝地区高等学校协同创新体系建设，与成都地区高校科学研究和协调创新相关工作</w:t>
            </w:r>
          </w:p>
        </w:tc>
        <w:tc>
          <w:tcPr>
            <w:tcW w:w="2694"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1.成立领导</w:t>
            </w:r>
            <w:r>
              <w:rPr>
                <w:rFonts w:ascii="宋体" w:hAnsi="宋体"/>
                <w:sz w:val="24"/>
                <w:szCs w:val="24"/>
              </w:rPr>
              <w:t>小组</w:t>
            </w:r>
            <w:r>
              <w:rPr>
                <w:rFonts w:hint="eastAsia" w:ascii="宋体" w:hAnsi="宋体"/>
                <w:sz w:val="24"/>
                <w:szCs w:val="24"/>
              </w:rPr>
              <w:t>；</w:t>
            </w:r>
          </w:p>
          <w:p>
            <w:pPr>
              <w:spacing w:line="320" w:lineRule="exact"/>
              <w:jc w:val="left"/>
              <w:rPr>
                <w:rFonts w:ascii="宋体" w:hAnsi="宋体"/>
                <w:sz w:val="24"/>
                <w:szCs w:val="24"/>
              </w:rPr>
            </w:pPr>
            <w:r>
              <w:rPr>
                <w:rFonts w:hint="eastAsia" w:ascii="宋体" w:hAnsi="宋体"/>
                <w:sz w:val="24"/>
                <w:szCs w:val="24"/>
              </w:rPr>
              <w:t>2.制定具体</w:t>
            </w:r>
            <w:r>
              <w:rPr>
                <w:rFonts w:ascii="宋体" w:hAnsi="宋体"/>
                <w:sz w:val="24"/>
                <w:szCs w:val="24"/>
              </w:rPr>
              <w:t>实施方案</w:t>
            </w:r>
            <w:r>
              <w:rPr>
                <w:rFonts w:hint="eastAsia" w:ascii="宋体" w:hAnsi="宋体"/>
                <w:sz w:val="24"/>
                <w:szCs w:val="24"/>
              </w:rPr>
              <w:t>；</w:t>
            </w:r>
          </w:p>
          <w:p>
            <w:pPr>
              <w:spacing w:line="320" w:lineRule="exact"/>
              <w:jc w:val="left"/>
              <w:rPr>
                <w:rFonts w:ascii="宋体" w:hAnsi="宋体"/>
                <w:sz w:val="24"/>
                <w:szCs w:val="24"/>
              </w:rPr>
            </w:pPr>
            <w:r>
              <w:rPr>
                <w:rFonts w:hint="eastAsia" w:ascii="宋体" w:hAnsi="宋体"/>
                <w:sz w:val="24"/>
                <w:szCs w:val="24"/>
              </w:rPr>
              <w:t>3.协调</w:t>
            </w:r>
            <w:r>
              <w:rPr>
                <w:rFonts w:ascii="宋体" w:hAnsi="宋体"/>
                <w:sz w:val="24"/>
                <w:szCs w:val="24"/>
              </w:rPr>
              <w:t>巴南区科技局共同开展工作任务</w:t>
            </w:r>
            <w:r>
              <w:rPr>
                <w:rFonts w:hint="eastAsia" w:ascii="宋体" w:hAnsi="宋体"/>
                <w:sz w:val="24"/>
                <w:szCs w:val="24"/>
              </w:rPr>
              <w:t>；</w:t>
            </w:r>
          </w:p>
          <w:p>
            <w:pPr>
              <w:spacing w:line="320" w:lineRule="exact"/>
              <w:jc w:val="left"/>
              <w:rPr>
                <w:rFonts w:ascii="宋体" w:hAnsi="宋体"/>
                <w:sz w:val="24"/>
                <w:szCs w:val="24"/>
              </w:rPr>
            </w:pPr>
            <w:r>
              <w:rPr>
                <w:rFonts w:ascii="宋体" w:hAnsi="宋体"/>
                <w:sz w:val="24"/>
                <w:szCs w:val="24"/>
              </w:rPr>
              <w:t>4.</w:t>
            </w:r>
            <w:r>
              <w:rPr>
                <w:rFonts w:hint="eastAsia" w:ascii="宋体" w:hAnsi="宋体"/>
                <w:sz w:val="24"/>
                <w:szCs w:val="24"/>
              </w:rPr>
              <w:t>拓展</w:t>
            </w:r>
            <w:r>
              <w:rPr>
                <w:rFonts w:ascii="宋体" w:hAnsi="宋体"/>
                <w:sz w:val="24"/>
                <w:szCs w:val="24"/>
              </w:rPr>
              <w:t>与成都</w:t>
            </w:r>
            <w:r>
              <w:rPr>
                <w:rFonts w:hint="eastAsia" w:ascii="宋体" w:hAnsi="宋体"/>
                <w:sz w:val="24"/>
                <w:szCs w:val="24"/>
              </w:rPr>
              <w:t>地区</w:t>
            </w:r>
            <w:r>
              <w:rPr>
                <w:rFonts w:ascii="宋体" w:hAnsi="宋体"/>
                <w:sz w:val="24"/>
                <w:szCs w:val="24"/>
              </w:rPr>
              <w:t>高校</w:t>
            </w:r>
            <w:r>
              <w:rPr>
                <w:rFonts w:hint="eastAsia" w:ascii="宋体" w:hAnsi="宋体"/>
                <w:sz w:val="24"/>
                <w:szCs w:val="24"/>
              </w:rPr>
              <w:t>创新相关</w:t>
            </w:r>
            <w:r>
              <w:rPr>
                <w:rFonts w:ascii="宋体" w:hAnsi="宋体"/>
                <w:sz w:val="24"/>
                <w:szCs w:val="24"/>
              </w:rPr>
              <w:t>工作</w:t>
            </w:r>
            <w:r>
              <w:rPr>
                <w:rFonts w:hint="eastAsia" w:ascii="宋体" w:hAnsi="宋体"/>
                <w:sz w:val="24"/>
                <w:szCs w:val="24"/>
              </w:rPr>
              <w:t>。</w:t>
            </w:r>
          </w:p>
        </w:tc>
        <w:tc>
          <w:tcPr>
            <w:tcW w:w="2409"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1.联合四川</w:t>
            </w:r>
            <w:r>
              <w:rPr>
                <w:rFonts w:ascii="宋体" w:hAnsi="宋体"/>
                <w:sz w:val="24"/>
                <w:szCs w:val="24"/>
              </w:rPr>
              <w:t>地区高校共同</w:t>
            </w:r>
            <w:r>
              <w:rPr>
                <w:rFonts w:hint="eastAsia" w:ascii="宋体" w:hAnsi="宋体"/>
                <w:sz w:val="24"/>
                <w:szCs w:val="24"/>
              </w:rPr>
              <w:t>建设</w:t>
            </w:r>
            <w:r>
              <w:rPr>
                <w:rFonts w:ascii="宋体" w:hAnsi="宋体"/>
                <w:sz w:val="24"/>
                <w:szCs w:val="24"/>
              </w:rPr>
              <w:t>科技创新平台</w:t>
            </w:r>
            <w:r>
              <w:rPr>
                <w:rFonts w:hint="eastAsia" w:ascii="宋体" w:hAnsi="宋体"/>
                <w:sz w:val="24"/>
                <w:szCs w:val="24"/>
              </w:rPr>
              <w:t>；</w:t>
            </w:r>
          </w:p>
          <w:p>
            <w:pPr>
              <w:spacing w:line="320" w:lineRule="exact"/>
              <w:jc w:val="left"/>
              <w:rPr>
                <w:rFonts w:ascii="宋体" w:hAnsi="宋体"/>
                <w:sz w:val="24"/>
                <w:szCs w:val="24"/>
              </w:rPr>
            </w:pPr>
            <w:r>
              <w:rPr>
                <w:rFonts w:hint="eastAsia" w:ascii="宋体" w:hAnsi="宋体"/>
                <w:sz w:val="24"/>
                <w:szCs w:val="24"/>
              </w:rPr>
              <w:t>2.设立参与成渝两地专项项目；</w:t>
            </w:r>
          </w:p>
          <w:p>
            <w:pPr>
              <w:spacing w:line="320" w:lineRule="exact"/>
              <w:jc w:val="left"/>
              <w:rPr>
                <w:rFonts w:ascii="宋体" w:hAnsi="宋体"/>
                <w:sz w:val="24"/>
                <w:szCs w:val="24"/>
              </w:rPr>
            </w:pPr>
            <w:r>
              <w:rPr>
                <w:rFonts w:ascii="宋体" w:hAnsi="宋体"/>
                <w:sz w:val="24"/>
                <w:szCs w:val="24"/>
              </w:rPr>
              <w:t>3.</w:t>
            </w:r>
            <w:r>
              <w:rPr>
                <w:rFonts w:hint="eastAsia" w:ascii="宋体" w:hAnsi="宋体"/>
                <w:sz w:val="24"/>
                <w:szCs w:val="24"/>
              </w:rPr>
              <w:t>配合完成</w:t>
            </w:r>
            <w:r>
              <w:rPr>
                <w:rFonts w:ascii="宋体" w:hAnsi="宋体"/>
                <w:sz w:val="24"/>
                <w:szCs w:val="24"/>
              </w:rPr>
              <w:t>参与科技创新中心与西部（重庆）科学城建设的具体工作</w:t>
            </w:r>
            <w:r>
              <w:rPr>
                <w:rFonts w:hint="eastAsia" w:ascii="宋体" w:hAnsi="宋体"/>
                <w:sz w:val="24"/>
                <w:szCs w:val="24"/>
              </w:rPr>
              <w:t>。</w:t>
            </w:r>
          </w:p>
        </w:tc>
        <w:tc>
          <w:tcPr>
            <w:tcW w:w="2835"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联合</w:t>
            </w:r>
            <w:r>
              <w:rPr>
                <w:rFonts w:ascii="宋体" w:hAnsi="宋体"/>
                <w:sz w:val="24"/>
                <w:szCs w:val="24"/>
              </w:rPr>
              <w:t>四川地区企业及</w:t>
            </w:r>
            <w:r>
              <w:rPr>
                <w:rFonts w:hint="eastAsia" w:ascii="宋体" w:hAnsi="宋体"/>
                <w:sz w:val="24"/>
                <w:szCs w:val="24"/>
              </w:rPr>
              <w:t>高校</w:t>
            </w:r>
            <w:r>
              <w:rPr>
                <w:rFonts w:ascii="宋体" w:hAnsi="宋体"/>
                <w:sz w:val="24"/>
                <w:szCs w:val="24"/>
              </w:rPr>
              <w:t>成立科技创新中心实施成果转化</w:t>
            </w:r>
            <w:r>
              <w:rPr>
                <w:rFonts w:hint="eastAsia" w:ascii="宋体" w:hAnsi="宋体"/>
                <w:sz w:val="24"/>
                <w:szCs w:val="24"/>
              </w:rPr>
              <w:t>，</w:t>
            </w:r>
            <w:r>
              <w:rPr>
                <w:rFonts w:ascii="宋体" w:hAnsi="宋体"/>
                <w:sz w:val="24"/>
                <w:szCs w:val="24"/>
              </w:rPr>
              <w:t>共同建设创新</w:t>
            </w:r>
            <w:r>
              <w:rPr>
                <w:rFonts w:hint="eastAsia" w:ascii="宋体" w:hAnsi="宋体"/>
                <w:sz w:val="24"/>
                <w:szCs w:val="24"/>
              </w:rPr>
              <w:t>体系</w:t>
            </w:r>
            <w:r>
              <w:rPr>
                <w:rFonts w:ascii="宋体" w:hAnsi="宋体"/>
                <w:sz w:val="24"/>
                <w:szCs w:val="24"/>
              </w:rPr>
              <w:t>。</w:t>
            </w:r>
          </w:p>
        </w:tc>
        <w:tc>
          <w:tcPr>
            <w:tcW w:w="1379" w:type="dxa"/>
            <w:shd w:val="clear" w:color="auto" w:fill="auto"/>
            <w:noWrap w:val="0"/>
            <w:vAlign w:val="center"/>
          </w:tcPr>
          <w:p>
            <w:pPr>
              <w:spacing w:line="320" w:lineRule="exact"/>
              <w:jc w:val="center"/>
              <w:rPr>
                <w:rFonts w:ascii="宋体" w:hAnsi="宋体"/>
                <w:sz w:val="24"/>
                <w:szCs w:val="24"/>
              </w:rPr>
            </w:pPr>
            <w:r>
              <w:rPr>
                <w:rFonts w:ascii="宋体" w:hAnsi="宋体"/>
                <w:sz w:val="24"/>
                <w:szCs w:val="24"/>
              </w:rPr>
              <w:t>科技处</w:t>
            </w:r>
          </w:p>
        </w:tc>
        <w:tc>
          <w:tcPr>
            <w:tcW w:w="1121"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各二级</w:t>
            </w:r>
            <w:r>
              <w:rPr>
                <w:rFonts w:ascii="宋体" w:hAnsi="宋体"/>
                <w:sz w:val="24"/>
                <w:szCs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noWrap w:val="0"/>
            <w:vAlign w:val="center"/>
          </w:tcPr>
          <w:p>
            <w:pPr>
              <w:spacing w:line="320" w:lineRule="exact"/>
              <w:rPr>
                <w:rFonts w:ascii="宋体" w:hAnsi="宋体"/>
                <w:sz w:val="24"/>
                <w:szCs w:val="24"/>
              </w:rPr>
            </w:pPr>
            <w:r>
              <w:rPr>
                <w:rFonts w:ascii="宋体" w:hAnsi="宋体"/>
                <w:sz w:val="24"/>
                <w:szCs w:val="24"/>
              </w:rPr>
              <w:t>开展与成都地区高校开展共建优势专业、人才培养、课程互选、实习实训基地，开展、推动技术技能人才联合培养，推进学分互认、实施更加灵活的交换生安排等方面交流合作相关工作的组织协调和推进</w:t>
            </w:r>
          </w:p>
        </w:tc>
        <w:tc>
          <w:tcPr>
            <w:tcW w:w="2694" w:type="dxa"/>
            <w:shd w:val="clear" w:color="auto" w:fill="auto"/>
            <w:noWrap w:val="0"/>
            <w:vAlign w:val="top"/>
          </w:tcPr>
          <w:p>
            <w:pPr>
              <w:spacing w:line="320" w:lineRule="exact"/>
              <w:rPr>
                <w:rFonts w:ascii="宋体" w:hAnsi="宋体"/>
                <w:sz w:val="24"/>
                <w:szCs w:val="24"/>
              </w:rPr>
            </w:pPr>
            <w:r>
              <w:rPr>
                <w:rFonts w:hint="eastAsia" w:ascii="宋体" w:hAnsi="宋体"/>
                <w:sz w:val="24"/>
                <w:szCs w:val="24"/>
              </w:rPr>
              <w:t>1.根据学校总体安排，遴选高校，建立联系，签订协议；</w:t>
            </w:r>
          </w:p>
          <w:p>
            <w:pPr>
              <w:spacing w:line="320" w:lineRule="exact"/>
              <w:rPr>
                <w:rFonts w:ascii="宋体" w:hAnsi="宋体"/>
                <w:sz w:val="24"/>
                <w:szCs w:val="24"/>
              </w:rPr>
            </w:pPr>
            <w:r>
              <w:rPr>
                <w:rFonts w:hint="eastAsia" w:ascii="宋体" w:hAnsi="宋体"/>
                <w:sz w:val="24"/>
                <w:szCs w:val="24"/>
              </w:rPr>
              <w:t>2.细化实施方案，落实协同育人细节；</w:t>
            </w:r>
          </w:p>
          <w:p>
            <w:pPr>
              <w:spacing w:line="320" w:lineRule="exact"/>
              <w:rPr>
                <w:rFonts w:ascii="宋体" w:hAnsi="宋体"/>
                <w:sz w:val="24"/>
                <w:szCs w:val="24"/>
              </w:rPr>
            </w:pPr>
            <w:r>
              <w:rPr>
                <w:rFonts w:hint="eastAsia" w:ascii="宋体" w:hAnsi="宋体"/>
                <w:sz w:val="24"/>
                <w:szCs w:val="24"/>
              </w:rPr>
              <w:t>3.完成相关配套制度。</w:t>
            </w:r>
          </w:p>
        </w:tc>
        <w:tc>
          <w:tcPr>
            <w:tcW w:w="2409" w:type="dxa"/>
            <w:shd w:val="clear" w:color="auto" w:fill="auto"/>
            <w:noWrap w:val="0"/>
            <w:vAlign w:val="top"/>
          </w:tcPr>
          <w:p>
            <w:pPr>
              <w:spacing w:line="320" w:lineRule="exact"/>
              <w:rPr>
                <w:rFonts w:ascii="宋体" w:hAnsi="宋体"/>
                <w:sz w:val="24"/>
                <w:szCs w:val="24"/>
              </w:rPr>
            </w:pPr>
            <w:r>
              <w:rPr>
                <w:rFonts w:hint="eastAsia" w:ascii="宋体" w:hAnsi="宋体"/>
                <w:sz w:val="24"/>
                <w:szCs w:val="24"/>
              </w:rPr>
              <w:t>1.全面展开并具体实施；</w:t>
            </w:r>
          </w:p>
          <w:p>
            <w:pPr>
              <w:spacing w:line="320" w:lineRule="exact"/>
              <w:rPr>
                <w:rFonts w:ascii="宋体" w:hAnsi="宋体"/>
                <w:sz w:val="24"/>
                <w:szCs w:val="24"/>
              </w:rPr>
            </w:pPr>
            <w:r>
              <w:rPr>
                <w:rFonts w:hint="eastAsia" w:ascii="宋体" w:hAnsi="宋体"/>
                <w:sz w:val="24"/>
                <w:szCs w:val="24"/>
              </w:rPr>
              <w:t>2.定期交流，及时调整；</w:t>
            </w:r>
          </w:p>
          <w:p>
            <w:pPr>
              <w:spacing w:line="320" w:lineRule="exact"/>
              <w:rPr>
                <w:rFonts w:ascii="宋体" w:hAnsi="宋体"/>
                <w:sz w:val="24"/>
                <w:szCs w:val="24"/>
              </w:rPr>
            </w:pPr>
            <w:r>
              <w:rPr>
                <w:rFonts w:hint="eastAsia" w:ascii="宋体" w:hAnsi="宋体"/>
                <w:sz w:val="24"/>
                <w:szCs w:val="24"/>
              </w:rPr>
              <w:t>3.修订配套制度。</w:t>
            </w:r>
          </w:p>
        </w:tc>
        <w:tc>
          <w:tcPr>
            <w:tcW w:w="2835" w:type="dxa"/>
            <w:shd w:val="clear" w:color="auto" w:fill="auto"/>
            <w:noWrap w:val="0"/>
            <w:vAlign w:val="top"/>
          </w:tcPr>
          <w:p>
            <w:pPr>
              <w:spacing w:line="320" w:lineRule="exact"/>
              <w:rPr>
                <w:rFonts w:ascii="宋体" w:hAnsi="宋体"/>
                <w:sz w:val="24"/>
                <w:szCs w:val="24"/>
              </w:rPr>
            </w:pPr>
            <w:r>
              <w:rPr>
                <w:rFonts w:hint="eastAsia" w:ascii="宋体" w:hAnsi="宋体"/>
                <w:sz w:val="24"/>
                <w:szCs w:val="24"/>
              </w:rPr>
              <w:t>1.深入推进；</w:t>
            </w:r>
          </w:p>
          <w:p>
            <w:pPr>
              <w:spacing w:line="320" w:lineRule="exact"/>
              <w:rPr>
                <w:rFonts w:ascii="宋体" w:hAnsi="宋体"/>
                <w:sz w:val="24"/>
                <w:szCs w:val="24"/>
              </w:rPr>
            </w:pPr>
            <w:r>
              <w:rPr>
                <w:rFonts w:hint="eastAsia" w:ascii="宋体" w:hAnsi="宋体"/>
                <w:sz w:val="24"/>
                <w:szCs w:val="24"/>
              </w:rPr>
              <w:t>2.总结提高；</w:t>
            </w:r>
          </w:p>
          <w:p>
            <w:pPr>
              <w:spacing w:line="320" w:lineRule="exact"/>
              <w:rPr>
                <w:rFonts w:ascii="宋体" w:hAnsi="宋体"/>
                <w:sz w:val="24"/>
                <w:szCs w:val="24"/>
              </w:rPr>
            </w:pPr>
            <w:r>
              <w:rPr>
                <w:rFonts w:hint="eastAsia" w:ascii="宋体" w:hAnsi="宋体"/>
                <w:sz w:val="24"/>
                <w:szCs w:val="24"/>
              </w:rPr>
              <w:t>3.完善配套机制。</w:t>
            </w:r>
          </w:p>
        </w:tc>
        <w:tc>
          <w:tcPr>
            <w:tcW w:w="1379" w:type="dxa"/>
            <w:shd w:val="clear" w:color="auto" w:fill="auto"/>
            <w:noWrap w:val="0"/>
            <w:vAlign w:val="center"/>
          </w:tcPr>
          <w:p>
            <w:pPr>
              <w:spacing w:line="320" w:lineRule="exact"/>
              <w:jc w:val="center"/>
              <w:rPr>
                <w:rFonts w:ascii="宋体" w:hAnsi="宋体"/>
                <w:sz w:val="24"/>
                <w:szCs w:val="24"/>
              </w:rPr>
            </w:pPr>
            <w:r>
              <w:rPr>
                <w:rFonts w:ascii="宋体" w:hAnsi="宋体"/>
                <w:sz w:val="24"/>
                <w:szCs w:val="24"/>
              </w:rPr>
              <w:t>教务处</w:t>
            </w:r>
          </w:p>
        </w:tc>
        <w:tc>
          <w:tcPr>
            <w:tcW w:w="1121"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各二级</w:t>
            </w:r>
            <w:r>
              <w:rPr>
                <w:rFonts w:ascii="宋体" w:hAnsi="宋体"/>
                <w:sz w:val="24"/>
                <w:szCs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3510" w:type="dxa"/>
            <w:shd w:val="clear" w:color="auto" w:fill="auto"/>
            <w:noWrap w:val="0"/>
            <w:vAlign w:val="center"/>
          </w:tcPr>
          <w:p>
            <w:pPr>
              <w:spacing w:line="320" w:lineRule="exact"/>
              <w:rPr>
                <w:rFonts w:ascii="宋体" w:hAnsi="宋体"/>
                <w:sz w:val="24"/>
                <w:szCs w:val="24"/>
              </w:rPr>
            </w:pPr>
            <w:r>
              <w:rPr>
                <w:rFonts w:ascii="宋体" w:hAnsi="宋体"/>
                <w:sz w:val="24"/>
                <w:szCs w:val="24"/>
              </w:rPr>
              <w:t>负责深入推进与成都地区相关行业、企业开展产教融合发展，打造产教融合试点。</w:t>
            </w:r>
          </w:p>
        </w:tc>
        <w:tc>
          <w:tcPr>
            <w:tcW w:w="2694"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1.组织开展学校与四川高校、重点产业龙头企业的考察交流，探索合作模式，建立合作意向。</w:t>
            </w:r>
          </w:p>
          <w:p>
            <w:pPr>
              <w:spacing w:line="320" w:lineRule="exact"/>
              <w:rPr>
                <w:rFonts w:ascii="宋体" w:hAnsi="宋体"/>
                <w:sz w:val="24"/>
                <w:szCs w:val="24"/>
              </w:rPr>
            </w:pPr>
            <w:r>
              <w:rPr>
                <w:rFonts w:hint="eastAsia" w:ascii="宋体" w:hAnsi="宋体"/>
                <w:sz w:val="24"/>
                <w:szCs w:val="24"/>
              </w:rPr>
              <w:t>2.加入川渝地区双城经济圈各类教育联盟组织。</w:t>
            </w:r>
          </w:p>
        </w:tc>
        <w:tc>
          <w:tcPr>
            <w:tcW w:w="2409" w:type="dxa"/>
            <w:shd w:val="clear" w:color="auto" w:fill="auto"/>
            <w:noWrap w:val="0"/>
            <w:vAlign w:val="center"/>
          </w:tcPr>
          <w:p>
            <w:pPr>
              <w:spacing w:line="320" w:lineRule="exact"/>
              <w:rPr>
                <w:rFonts w:ascii="宋体" w:hAnsi="宋体"/>
                <w:sz w:val="24"/>
                <w:szCs w:val="24"/>
              </w:rPr>
            </w:pPr>
            <w:r>
              <w:rPr>
                <w:rFonts w:hint="eastAsia" w:ascii="宋体" w:hAnsi="宋体"/>
                <w:sz w:val="24"/>
                <w:szCs w:val="24"/>
              </w:rPr>
              <w:t>1.与重点产业龙头企业开展校企合作。</w:t>
            </w:r>
          </w:p>
          <w:p>
            <w:pPr>
              <w:spacing w:line="320" w:lineRule="exact"/>
              <w:rPr>
                <w:rFonts w:ascii="宋体" w:hAnsi="宋体"/>
                <w:sz w:val="24"/>
                <w:szCs w:val="24"/>
              </w:rPr>
            </w:pPr>
            <w:r>
              <w:rPr>
                <w:rFonts w:hint="eastAsia" w:ascii="宋体" w:hAnsi="宋体"/>
                <w:sz w:val="24"/>
                <w:szCs w:val="24"/>
              </w:rPr>
              <w:t>2.与四川高校开展校校合作交流。</w:t>
            </w:r>
          </w:p>
          <w:p>
            <w:pPr>
              <w:spacing w:line="320" w:lineRule="exact"/>
              <w:rPr>
                <w:rFonts w:ascii="宋体" w:hAnsi="宋体"/>
                <w:sz w:val="24"/>
                <w:szCs w:val="24"/>
              </w:rPr>
            </w:pPr>
            <w:r>
              <w:rPr>
                <w:rFonts w:hint="eastAsia" w:ascii="宋体" w:hAnsi="宋体"/>
                <w:sz w:val="24"/>
                <w:szCs w:val="24"/>
              </w:rPr>
              <w:t>3.积极参与川渝地区双城经济圈教育联盟活动，推广学校名片，寻求合作资源。</w:t>
            </w:r>
          </w:p>
        </w:tc>
        <w:tc>
          <w:tcPr>
            <w:tcW w:w="2835" w:type="dxa"/>
            <w:shd w:val="clear" w:color="auto" w:fill="auto"/>
            <w:noWrap w:val="0"/>
            <w:vAlign w:val="center"/>
          </w:tcPr>
          <w:p>
            <w:pPr>
              <w:spacing w:line="320" w:lineRule="exact"/>
              <w:rPr>
                <w:rFonts w:ascii="宋体" w:hAnsi="宋体"/>
                <w:sz w:val="24"/>
                <w:szCs w:val="24"/>
              </w:rPr>
            </w:pPr>
            <w:r>
              <w:rPr>
                <w:rFonts w:hint="eastAsia" w:ascii="宋体" w:hAnsi="宋体"/>
                <w:sz w:val="24"/>
                <w:szCs w:val="24"/>
              </w:rPr>
              <w:t>1.与合作企业、高校开展深度校企合作、产教融合，扩大合作专业规模，创新合作模式，丰富合作内涵。</w:t>
            </w:r>
          </w:p>
          <w:p>
            <w:pPr>
              <w:spacing w:line="320" w:lineRule="exact"/>
              <w:rPr>
                <w:rFonts w:ascii="宋体" w:hAnsi="宋体"/>
                <w:sz w:val="24"/>
                <w:szCs w:val="24"/>
              </w:rPr>
            </w:pPr>
            <w:r>
              <w:rPr>
                <w:rFonts w:hint="eastAsia" w:ascii="宋体" w:hAnsi="宋体"/>
                <w:sz w:val="24"/>
                <w:szCs w:val="24"/>
              </w:rPr>
              <w:t>2.创新校企联合人才培养的模式和途径，提高应用型人才培养质量。</w:t>
            </w:r>
          </w:p>
          <w:p>
            <w:pPr>
              <w:spacing w:line="320" w:lineRule="exact"/>
              <w:rPr>
                <w:rFonts w:ascii="宋体" w:hAnsi="宋体"/>
                <w:sz w:val="24"/>
                <w:szCs w:val="24"/>
              </w:rPr>
            </w:pPr>
            <w:r>
              <w:rPr>
                <w:rFonts w:hint="eastAsia" w:ascii="宋体" w:hAnsi="宋体"/>
                <w:sz w:val="24"/>
                <w:szCs w:val="24"/>
              </w:rPr>
              <w:t>3.共建共享高层次人才专家基地，促进行业专家进学校，学校科研人才进企业。</w:t>
            </w:r>
          </w:p>
        </w:tc>
        <w:tc>
          <w:tcPr>
            <w:tcW w:w="1379" w:type="dxa"/>
            <w:shd w:val="clear" w:color="auto" w:fill="auto"/>
            <w:noWrap w:val="0"/>
            <w:vAlign w:val="center"/>
          </w:tcPr>
          <w:p>
            <w:pPr>
              <w:spacing w:line="320" w:lineRule="exact"/>
              <w:jc w:val="center"/>
              <w:rPr>
                <w:rFonts w:ascii="宋体" w:hAnsi="宋体"/>
                <w:sz w:val="24"/>
                <w:szCs w:val="24"/>
              </w:rPr>
            </w:pPr>
            <w:r>
              <w:rPr>
                <w:rFonts w:ascii="宋体" w:hAnsi="宋体"/>
                <w:sz w:val="24"/>
                <w:szCs w:val="24"/>
              </w:rPr>
              <w:t>校企合作办</w:t>
            </w:r>
          </w:p>
        </w:tc>
        <w:tc>
          <w:tcPr>
            <w:tcW w:w="1121"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各二级</w:t>
            </w:r>
            <w:r>
              <w:rPr>
                <w:rFonts w:ascii="宋体" w:hAnsi="宋体"/>
                <w:sz w:val="24"/>
                <w:szCs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noWrap w:val="0"/>
            <w:vAlign w:val="center"/>
          </w:tcPr>
          <w:p>
            <w:pPr>
              <w:spacing w:line="320" w:lineRule="exact"/>
              <w:rPr>
                <w:rFonts w:ascii="宋体" w:hAnsi="宋体"/>
                <w:sz w:val="24"/>
                <w:szCs w:val="24"/>
              </w:rPr>
            </w:pPr>
            <w:r>
              <w:rPr>
                <w:rFonts w:ascii="宋体" w:hAnsi="宋体"/>
                <w:sz w:val="24"/>
                <w:szCs w:val="24"/>
              </w:rPr>
              <w:t>参与成渝高校开放共享的学生创新教育基地，为提供学生就业创业一体化服务，协调在成都市增投招生来源计划，负责与成都地区高校开展创新创业和众创空间共建共享相关工作。</w:t>
            </w:r>
          </w:p>
        </w:tc>
        <w:tc>
          <w:tcPr>
            <w:tcW w:w="2694"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1.积极参与成渝双城经济区创新创业联盟工作，探索交流模式；</w:t>
            </w:r>
          </w:p>
          <w:p>
            <w:pPr>
              <w:spacing w:line="320" w:lineRule="exact"/>
              <w:jc w:val="left"/>
              <w:rPr>
                <w:rFonts w:ascii="宋体" w:hAnsi="宋体"/>
                <w:sz w:val="24"/>
                <w:szCs w:val="24"/>
              </w:rPr>
            </w:pPr>
            <w:r>
              <w:rPr>
                <w:rFonts w:hint="eastAsia" w:ascii="宋体" w:hAnsi="宋体"/>
                <w:sz w:val="24"/>
                <w:szCs w:val="24"/>
              </w:rPr>
              <w:t>2.与成都地区相关高校搭建双创共享平台</w:t>
            </w:r>
          </w:p>
        </w:tc>
        <w:tc>
          <w:tcPr>
            <w:tcW w:w="2409"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加快创新创业园区升级建设工作，与成都地区合作高校开展交流互动，“请进来”、“走出去”。</w:t>
            </w:r>
          </w:p>
        </w:tc>
        <w:tc>
          <w:tcPr>
            <w:tcW w:w="2835"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围绕我校国家级众创空间整体规划建设工作，谋划新的合作交流模式。</w:t>
            </w:r>
          </w:p>
        </w:tc>
        <w:tc>
          <w:tcPr>
            <w:tcW w:w="1379"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招生</w:t>
            </w:r>
            <w:r>
              <w:rPr>
                <w:rFonts w:ascii="宋体" w:hAnsi="宋体"/>
                <w:sz w:val="24"/>
                <w:szCs w:val="24"/>
              </w:rPr>
              <w:t>就业办、创新</w:t>
            </w:r>
            <w:r>
              <w:rPr>
                <w:rFonts w:hint="eastAsia" w:ascii="宋体" w:hAnsi="宋体"/>
                <w:sz w:val="24"/>
                <w:szCs w:val="24"/>
              </w:rPr>
              <w:t>创业</w:t>
            </w:r>
            <w:r>
              <w:rPr>
                <w:rFonts w:ascii="宋体" w:hAnsi="宋体"/>
                <w:sz w:val="24"/>
                <w:szCs w:val="24"/>
              </w:rPr>
              <w:t>学院</w:t>
            </w:r>
          </w:p>
        </w:tc>
        <w:tc>
          <w:tcPr>
            <w:tcW w:w="1121"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各二级</w:t>
            </w:r>
            <w:r>
              <w:rPr>
                <w:rFonts w:ascii="宋体" w:hAnsi="宋体"/>
                <w:sz w:val="24"/>
                <w:szCs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noWrap w:val="0"/>
            <w:vAlign w:val="center"/>
          </w:tcPr>
          <w:p>
            <w:pPr>
              <w:spacing w:line="320" w:lineRule="exact"/>
              <w:rPr>
                <w:rFonts w:ascii="宋体" w:hAnsi="宋体"/>
                <w:sz w:val="24"/>
                <w:szCs w:val="24"/>
              </w:rPr>
            </w:pPr>
            <w:r>
              <w:rPr>
                <w:rFonts w:ascii="宋体" w:hAnsi="宋体"/>
                <w:sz w:val="24"/>
                <w:szCs w:val="24"/>
              </w:rPr>
              <w:t>与成渝地区的相关行业、企业联系共同拓展继续教育和职业培训工作</w:t>
            </w:r>
          </w:p>
        </w:tc>
        <w:tc>
          <w:tcPr>
            <w:tcW w:w="2694"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深入成渝地区相关行业、企业、高校及政府部门等开展学习、调研，积极探索符合两地高校、企业发展的新思路、新方法、新项目。</w:t>
            </w:r>
          </w:p>
        </w:tc>
        <w:tc>
          <w:tcPr>
            <w:tcW w:w="2409"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结合学校和成渝两地高校及企业的实际情况，创新式开展校校、校企、校政合作。</w:t>
            </w:r>
          </w:p>
        </w:tc>
        <w:tc>
          <w:tcPr>
            <w:tcW w:w="2835" w:type="dxa"/>
            <w:shd w:val="clear" w:color="auto" w:fill="auto"/>
            <w:noWrap w:val="0"/>
            <w:vAlign w:val="center"/>
          </w:tcPr>
          <w:p>
            <w:pPr>
              <w:spacing w:line="320" w:lineRule="exact"/>
              <w:jc w:val="left"/>
              <w:rPr>
                <w:rFonts w:ascii="宋体" w:hAnsi="宋体"/>
                <w:sz w:val="24"/>
                <w:szCs w:val="24"/>
              </w:rPr>
            </w:pPr>
            <w:r>
              <w:rPr>
                <w:rFonts w:hint="eastAsia" w:ascii="宋体" w:hAnsi="宋体"/>
                <w:sz w:val="24"/>
                <w:szCs w:val="24"/>
              </w:rPr>
              <w:t>建立合作教育共同体，实现合作成果转化机，项目清单打包，共享合作资源。</w:t>
            </w:r>
          </w:p>
        </w:tc>
        <w:tc>
          <w:tcPr>
            <w:tcW w:w="1379" w:type="dxa"/>
            <w:shd w:val="clear" w:color="auto" w:fill="auto"/>
            <w:noWrap w:val="0"/>
            <w:vAlign w:val="center"/>
          </w:tcPr>
          <w:p>
            <w:pPr>
              <w:spacing w:line="320" w:lineRule="exact"/>
              <w:jc w:val="center"/>
              <w:rPr>
                <w:rFonts w:ascii="宋体" w:hAnsi="宋体"/>
                <w:sz w:val="24"/>
                <w:szCs w:val="24"/>
              </w:rPr>
            </w:pPr>
            <w:r>
              <w:rPr>
                <w:rFonts w:ascii="宋体" w:hAnsi="宋体"/>
                <w:sz w:val="24"/>
                <w:szCs w:val="24"/>
              </w:rPr>
              <w:t>继续教育学院</w:t>
            </w:r>
          </w:p>
        </w:tc>
        <w:tc>
          <w:tcPr>
            <w:tcW w:w="1121" w:type="dxa"/>
            <w:shd w:val="clear" w:color="auto" w:fill="auto"/>
            <w:noWrap w:val="0"/>
            <w:vAlign w:val="center"/>
          </w:tcPr>
          <w:p>
            <w:pPr>
              <w:spacing w:line="320" w:lineRule="exact"/>
              <w:jc w:val="center"/>
              <w:rPr>
                <w:rFonts w:ascii="宋体" w:hAnsi="宋体"/>
                <w:sz w:val="24"/>
                <w:szCs w:val="24"/>
              </w:rPr>
            </w:pPr>
            <w:r>
              <w:rPr>
                <w:rFonts w:hint="eastAsia" w:ascii="宋体" w:hAnsi="宋体"/>
                <w:sz w:val="24"/>
                <w:szCs w:val="24"/>
              </w:rPr>
              <w:t>各二级</w:t>
            </w:r>
            <w:r>
              <w:rPr>
                <w:rFonts w:ascii="宋体" w:hAnsi="宋体"/>
                <w:sz w:val="24"/>
                <w:szCs w:val="24"/>
              </w:rPr>
              <w:t>学院</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B2291"/>
    <w:rsid w:val="4F5B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2020-11-26T16:28:00Z</dcterms:created>
  <dc:creator>玫明欢</dc:creator>
  <cp:lastModifiedBy>玫明欢</cp:lastModifiedBy>
  <dcterms:modified xsi:type="dcterms:W3CDTF">2020-11-26T16:28:37Z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